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454B" w14:textId="7ED86AB8"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ascii="Calibri" w:eastAsia="Times New Roman" w:hAnsi="Calibri" w:cs="Times New Roman"/>
          <w:sz w:val="22"/>
          <w:szCs w:val="22"/>
          <w:lang w:eastAsia="cs-CZ"/>
        </w:rPr>
        <w:t xml:space="preserve">Příloha č. </w:t>
      </w:r>
      <w:r w:rsidR="004F47D9">
        <w:rPr>
          <w:rFonts w:ascii="Calibri" w:eastAsia="Times New Roman" w:hAnsi="Calibri" w:cs="Times New Roman"/>
          <w:sz w:val="22"/>
          <w:szCs w:val="22"/>
          <w:lang w:eastAsia="cs-CZ"/>
        </w:rPr>
        <w:t>1</w:t>
      </w:r>
      <w:r w:rsidR="00133B41">
        <w:rPr>
          <w:rFonts w:ascii="Calibri" w:eastAsia="Times New Roman" w:hAnsi="Calibri" w:cs="Times New Roman"/>
          <w:sz w:val="22"/>
          <w:szCs w:val="22"/>
          <w:lang w:eastAsia="cs-CZ"/>
        </w:rPr>
        <w:t>4</w:t>
      </w:r>
      <w:r>
        <w:rPr>
          <w:rFonts w:ascii="Calibri" w:eastAsia="Times New Roman" w:hAnsi="Calibri" w:cs="Times New Roman"/>
          <w:sz w:val="22"/>
          <w:szCs w:val="22"/>
          <w:lang w:eastAsia="cs-CZ"/>
        </w:rPr>
        <w:t xml:space="preserve"> Výzvy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653F5F" w:rsidRDefault="009A0078" w:rsidP="00653F5F">
      <w:pPr>
        <w:pStyle w:val="Nzev"/>
        <w:spacing w:after="120"/>
        <w:contextualSpacing w:val="0"/>
        <w:jc w:val="left"/>
        <w:rPr>
          <w:color w:val="auto"/>
        </w:rPr>
      </w:pPr>
      <w:r w:rsidRPr="00653F5F">
        <w:rPr>
          <w:color w:val="auto"/>
        </w:rPr>
        <w:t>Smlouva o dílo č</w:t>
      </w:r>
      <w:r w:rsidR="004E1498" w:rsidRPr="00653F5F">
        <w:rPr>
          <w:color w:val="auto"/>
        </w:rPr>
        <w:t xml:space="preserve">. </w:t>
      </w:r>
      <w:r w:rsidR="004E1498" w:rsidRPr="00653F5F">
        <w:rPr>
          <w:color w:val="auto"/>
          <w:highlight w:val="green"/>
        </w:rPr>
        <w:t>………………</w:t>
      </w:r>
    </w:p>
    <w:p w14:paraId="55A13EF4"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59C7D343"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w:t>
      </w:r>
      <w:r w:rsidR="00D945D0">
        <w:rPr>
          <w:rFonts w:eastAsia="Times New Roman" w:cs="Times New Roman"/>
          <w:b/>
          <w:lang w:eastAsia="cs-CZ"/>
        </w:rPr>
        <w:t>c</w:t>
      </w:r>
      <w:r w:rsidRPr="004E1498">
        <w:rPr>
          <w:rFonts w:eastAsia="Times New Roman" w:cs="Times New Roman"/>
          <w:b/>
          <w:lang w:eastAsia="cs-CZ"/>
        </w:rPr>
        <w:t>, státní organizace</w:t>
      </w:r>
    </w:p>
    <w:p w14:paraId="44039C16"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D3B3B0C" w:rsidR="004E1498" w:rsidRDefault="0076203B" w:rsidP="000F0765">
      <w:pPr>
        <w:overflowPunct w:val="0"/>
        <w:autoSpaceDE w:val="0"/>
        <w:autoSpaceDN w:val="0"/>
        <w:adjustRightInd w:val="0"/>
        <w:spacing w:after="0" w:line="240" w:lineRule="auto"/>
        <w:ind w:left="1416"/>
        <w:jc w:val="both"/>
        <w:textAlignment w:val="baseline"/>
        <w:rPr>
          <w:rFonts w:eastAsia="Times New Roman" w:cs="Times New Roman"/>
          <w:lang w:eastAsia="cs-CZ"/>
        </w:rPr>
      </w:pPr>
      <w:r>
        <w:rPr>
          <w:rFonts w:eastAsia="Times New Roman" w:cs="Times New Roman"/>
          <w:lang w:eastAsia="cs-CZ"/>
        </w:rPr>
        <w:t>Zastoupená Ing. Ladislavem Kašparem, ředitelem Oblastního ředitelství Olomouc</w:t>
      </w:r>
    </w:p>
    <w:p w14:paraId="1455392B" w14:textId="56D554C1" w:rsidR="0076203B" w:rsidRPr="006241AD" w:rsidRDefault="0076203B" w:rsidP="000F0765">
      <w:pPr>
        <w:overflowPunct w:val="0"/>
        <w:autoSpaceDE w:val="0"/>
        <w:autoSpaceDN w:val="0"/>
        <w:adjustRightInd w:val="0"/>
        <w:spacing w:after="0" w:line="240" w:lineRule="auto"/>
        <w:ind w:left="1416"/>
        <w:jc w:val="both"/>
        <w:textAlignment w:val="baseline"/>
        <w:rPr>
          <w:rFonts w:eastAsia="Times New Roman" w:cs="Times New Roman"/>
          <w:lang w:eastAsia="cs-CZ"/>
        </w:rPr>
      </w:pPr>
      <w:r>
        <w:rPr>
          <w:rFonts w:eastAsia="Times New Roman" w:cs="Times New Roman"/>
          <w:lang w:eastAsia="cs-CZ"/>
        </w:rPr>
        <w:t>Bankovní spojení: Česká národní banka, č.ú.:</w:t>
      </w:r>
      <w:r w:rsidR="000F0765">
        <w:rPr>
          <w:rFonts w:eastAsia="Times New Roman" w:cs="Times New Roman"/>
          <w:lang w:eastAsia="cs-CZ"/>
        </w:rPr>
        <w:t xml:space="preserve"> </w:t>
      </w:r>
      <w:r>
        <w:rPr>
          <w:rFonts w:eastAsia="Times New Roman" w:cs="Times New Roman"/>
          <w:lang w:eastAsia="cs-CZ"/>
        </w:rPr>
        <w:t>3009-1406011/0710</w:t>
      </w:r>
    </w:p>
    <w:p w14:paraId="686BA1F9" w14:textId="77777777" w:rsidR="004E1498" w:rsidRPr="006241AD"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6241AD">
        <w:rPr>
          <w:rFonts w:eastAsia="Times New Roman" w:cs="Times New Roman"/>
          <w:lang w:eastAsia="cs-CZ"/>
        </w:rPr>
        <w:t xml:space="preserve">                            </w:t>
      </w:r>
      <w:r w:rsidRPr="006241AD">
        <w:rPr>
          <w:rFonts w:eastAsia="Times New Roman" w:cs="Times New Roman"/>
          <w:lang w:eastAsia="cs-CZ"/>
        </w:rPr>
        <w:tab/>
      </w:r>
    </w:p>
    <w:p w14:paraId="0431CDBD" w14:textId="5297FC4A" w:rsidR="004E1498" w:rsidRPr="006241AD" w:rsidRDefault="004E1498" w:rsidP="000F0765">
      <w:pPr>
        <w:overflowPunct w:val="0"/>
        <w:autoSpaceDE w:val="0"/>
        <w:autoSpaceDN w:val="0"/>
        <w:adjustRightInd w:val="0"/>
        <w:spacing w:after="0" w:line="240" w:lineRule="auto"/>
        <w:jc w:val="both"/>
        <w:textAlignment w:val="baseline"/>
        <w:rPr>
          <w:rFonts w:eastAsia="Times New Roman" w:cs="Times New Roman"/>
          <w:b/>
          <w:lang w:eastAsia="cs-CZ"/>
        </w:rPr>
      </w:pPr>
      <w:r w:rsidRPr="006241AD">
        <w:rPr>
          <w:rFonts w:eastAsia="Times New Roman" w:cs="Times New Roman"/>
          <w:b/>
          <w:lang w:eastAsia="cs-CZ"/>
        </w:rPr>
        <w:t xml:space="preserve">                       </w:t>
      </w:r>
      <w:r w:rsidR="0076203B">
        <w:rPr>
          <w:rFonts w:eastAsia="Times New Roman" w:cs="Times New Roman"/>
          <w:b/>
          <w:lang w:eastAsia="cs-CZ"/>
        </w:rPr>
        <w:t>Kontaktní adresa pro doručování</w:t>
      </w:r>
      <w:r w:rsidR="000077B5">
        <w:rPr>
          <w:rFonts w:eastAsia="Times New Roman" w:cs="Times New Roman"/>
          <w:b/>
          <w:lang w:eastAsia="cs-CZ"/>
        </w:rPr>
        <w:t xml:space="preserve"> písemností a daňových dokladů:</w:t>
      </w:r>
    </w:p>
    <w:p w14:paraId="12223576" w14:textId="14EB66B3" w:rsidR="004E1498" w:rsidRDefault="000077B5" w:rsidP="000F0765">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Správa železnic, státní organizace</w:t>
      </w:r>
    </w:p>
    <w:p w14:paraId="25CF9614" w14:textId="716D48A2" w:rsidR="000077B5" w:rsidRPr="004E1498" w:rsidRDefault="000077B5" w:rsidP="000F0765">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Pr>
          <w:rFonts w:eastAsia="Times New Roman" w:cs="Times New Roman"/>
          <w:lang w:eastAsia="cs-CZ"/>
        </w:rPr>
        <w:t>Oblastní ředitelství Olomouc, Nerudova 1, 779 00 Olomouc</w:t>
      </w:r>
    </w:p>
    <w:p w14:paraId="7EFD0C09" w14:textId="77777777" w:rsidR="004E1498" w:rsidRPr="004E1498" w:rsidRDefault="004E1498" w:rsidP="000F0765">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CC3B95E"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p>
    <w:p w14:paraId="0BAB2DFB" w14:textId="77777777" w:rsidR="004E1498" w:rsidRPr="004E1498" w:rsidRDefault="004E1498" w:rsidP="000F0765">
      <w:pPr>
        <w:overflowPunct w:val="0"/>
        <w:autoSpaceDE w:val="0"/>
        <w:autoSpaceDN w:val="0"/>
        <w:adjustRightInd w:val="0"/>
        <w:spacing w:after="0" w:line="240" w:lineRule="auto"/>
        <w:jc w:val="both"/>
        <w:textAlignment w:val="baseline"/>
        <w:rPr>
          <w:rFonts w:eastAsia="Times New Roman" w:cs="Times New Roman"/>
          <w:lang w:eastAsia="cs-CZ"/>
        </w:rPr>
      </w:pPr>
    </w:p>
    <w:p w14:paraId="288BE545" w14:textId="77777777" w:rsidR="008E1E86" w:rsidRPr="00C53DEF" w:rsidRDefault="008E1E86" w:rsidP="000F0765">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C53DEF">
        <w:rPr>
          <w:rFonts w:eastAsia="Times New Roman" w:cs="Times New Roman"/>
          <w:b/>
          <w:lang w:eastAsia="cs-CZ"/>
        </w:rPr>
        <w:t>Zhotovitel:</w:t>
      </w:r>
      <w:r w:rsidRPr="00C53DEF">
        <w:rPr>
          <w:rFonts w:eastAsia="Times New Roman" w:cs="Times New Roman"/>
          <w:lang w:eastAsia="cs-CZ"/>
        </w:rPr>
        <w:tab/>
      </w:r>
      <w:r w:rsidRPr="00C53DEF">
        <w:rPr>
          <w:rFonts w:eastAsia="Times New Roman" w:cs="Times New Roman"/>
          <w:highlight w:val="yellow"/>
          <w:lang w:eastAsia="cs-CZ"/>
        </w:rPr>
        <w:t>jméno osoby/název firmy</w:t>
      </w:r>
    </w:p>
    <w:p w14:paraId="19E73E8B" w14:textId="77777777" w:rsidR="008E1E86" w:rsidRPr="00C53DEF" w:rsidRDefault="008E1E86" w:rsidP="000F0765">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C53DEF">
        <w:rPr>
          <w:rFonts w:eastAsia="Times New Roman" w:cs="Times New Roman"/>
          <w:highlight w:val="yellow"/>
          <w:lang w:eastAsia="cs-CZ"/>
        </w:rPr>
        <w:tab/>
      </w:r>
      <w:r w:rsidRPr="00C53DEF">
        <w:rPr>
          <w:rFonts w:eastAsia="Times New Roman" w:cs="Times New Roman"/>
          <w:highlight w:val="yellow"/>
          <w:lang w:eastAsia="cs-CZ"/>
        </w:rPr>
        <w:tab/>
        <w:t>údaje o zápisu v evidenci</w:t>
      </w:r>
    </w:p>
    <w:p w14:paraId="57570FFE" w14:textId="77777777" w:rsidR="008E1E86" w:rsidRPr="00C53DEF" w:rsidRDefault="008E1E86" w:rsidP="000F0765">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C53DEF">
        <w:rPr>
          <w:rFonts w:eastAsia="Times New Roman" w:cs="Times New Roman"/>
          <w:highlight w:val="yellow"/>
          <w:lang w:eastAsia="cs-CZ"/>
        </w:rPr>
        <w:tab/>
      </w:r>
      <w:r w:rsidRPr="00C53DEF">
        <w:rPr>
          <w:rFonts w:eastAsia="Times New Roman" w:cs="Times New Roman"/>
          <w:highlight w:val="yellow"/>
          <w:lang w:eastAsia="cs-CZ"/>
        </w:rPr>
        <w:tab/>
        <w:t>Sídlo:</w:t>
      </w:r>
    </w:p>
    <w:p w14:paraId="420D77A3" w14:textId="77777777" w:rsidR="008E1E86" w:rsidRPr="00C53DEF" w:rsidRDefault="008E1E86" w:rsidP="000F0765">
      <w:pPr>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C53DEF">
        <w:rPr>
          <w:rFonts w:eastAsia="Times New Roman" w:cs="Times New Roman"/>
          <w:highlight w:val="yellow"/>
          <w:lang w:eastAsia="cs-CZ"/>
        </w:rPr>
        <w:tab/>
      </w:r>
      <w:r w:rsidRPr="00C53DEF">
        <w:rPr>
          <w:rFonts w:eastAsia="Times New Roman" w:cs="Times New Roman"/>
          <w:highlight w:val="yellow"/>
          <w:lang w:eastAsia="cs-CZ"/>
        </w:rPr>
        <w:tab/>
        <w:t>IČO ……………………, DIČ …………………</w:t>
      </w:r>
    </w:p>
    <w:p w14:paraId="19B3856E" w14:textId="77777777" w:rsidR="008E1E86" w:rsidRPr="00C53DEF" w:rsidRDefault="008E1E86" w:rsidP="000F0765">
      <w:pPr>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C53DEF">
        <w:rPr>
          <w:rFonts w:eastAsia="Times New Roman" w:cs="Times New Roman"/>
          <w:highlight w:val="yellow"/>
          <w:lang w:eastAsia="cs-CZ"/>
        </w:rPr>
        <w:t>Bankovní spojení:……………………..</w:t>
      </w:r>
    </w:p>
    <w:p w14:paraId="17127EF1" w14:textId="77777777" w:rsidR="008E1E86" w:rsidRPr="00C53DEF" w:rsidRDefault="008E1E86" w:rsidP="000F0765">
      <w:pPr>
        <w:overflowPunct w:val="0"/>
        <w:autoSpaceDE w:val="0"/>
        <w:autoSpaceDN w:val="0"/>
        <w:adjustRightInd w:val="0"/>
        <w:spacing w:after="0" w:line="240" w:lineRule="auto"/>
        <w:ind w:left="708" w:firstLine="708"/>
        <w:jc w:val="both"/>
        <w:textAlignment w:val="baseline"/>
        <w:rPr>
          <w:rFonts w:eastAsia="Times New Roman" w:cs="Times New Roman"/>
          <w:highlight w:val="yellow"/>
          <w:lang w:eastAsia="cs-CZ"/>
        </w:rPr>
      </w:pPr>
      <w:r w:rsidRPr="00C53DEF">
        <w:rPr>
          <w:rFonts w:eastAsia="Times New Roman" w:cs="Times New Roman"/>
          <w:highlight w:val="yellow"/>
          <w:lang w:eastAsia="cs-CZ"/>
        </w:rPr>
        <w:t>Číslo účtu:…………………………..</w:t>
      </w:r>
    </w:p>
    <w:p w14:paraId="3B9C9CF2" w14:textId="77777777" w:rsidR="008E1E86" w:rsidRPr="00C53DEF" w:rsidRDefault="008E1E86" w:rsidP="000F0765">
      <w:pPr>
        <w:overflowPunct w:val="0"/>
        <w:autoSpaceDE w:val="0"/>
        <w:autoSpaceDN w:val="0"/>
        <w:adjustRightInd w:val="0"/>
        <w:spacing w:after="0" w:line="240" w:lineRule="auto"/>
        <w:jc w:val="both"/>
        <w:textAlignment w:val="baseline"/>
        <w:rPr>
          <w:rFonts w:eastAsia="Times New Roman" w:cs="Times New Roman"/>
          <w:lang w:eastAsia="cs-CZ"/>
        </w:rPr>
      </w:pPr>
      <w:r w:rsidRPr="00C53DEF">
        <w:rPr>
          <w:rFonts w:eastAsia="Times New Roman" w:cs="Times New Roman"/>
          <w:highlight w:val="yellow"/>
          <w:lang w:eastAsia="cs-CZ"/>
        </w:rPr>
        <w:tab/>
      </w:r>
      <w:r w:rsidRPr="00C53DEF">
        <w:rPr>
          <w:rFonts w:eastAsia="Times New Roman" w:cs="Times New Roman"/>
          <w:highlight w:val="yellow"/>
          <w:lang w:eastAsia="cs-CZ"/>
        </w:rPr>
        <w:tab/>
        <w:t>údaje o statutárním orgánu neb</w:t>
      </w:r>
      <w:bookmarkStart w:id="0" w:name="_GoBack"/>
      <w:bookmarkEnd w:id="0"/>
      <w:r w:rsidRPr="00C53DEF">
        <w:rPr>
          <w:rFonts w:eastAsia="Times New Roman" w:cs="Times New Roman"/>
          <w:highlight w:val="yellow"/>
          <w:lang w:eastAsia="cs-CZ"/>
        </w:rPr>
        <w:t>o jiné oprávněné osobě</w:t>
      </w:r>
    </w:p>
    <w:p w14:paraId="023DCF01" w14:textId="77777777" w:rsidR="008E1E86" w:rsidRPr="004E1498" w:rsidRDefault="008E1E86" w:rsidP="000F0765">
      <w:pPr>
        <w:overflowPunct w:val="0"/>
        <w:autoSpaceDE w:val="0"/>
        <w:autoSpaceDN w:val="0"/>
        <w:adjustRightInd w:val="0"/>
        <w:spacing w:after="0" w:line="240" w:lineRule="auto"/>
        <w:jc w:val="both"/>
        <w:textAlignment w:val="baseline"/>
        <w:rPr>
          <w:rFonts w:eastAsia="Times New Roman" w:cs="Times New Roman"/>
          <w:i/>
          <w:lang w:eastAsia="cs-CZ"/>
        </w:rPr>
      </w:pPr>
    </w:p>
    <w:p w14:paraId="183AF9BC" w14:textId="77777777" w:rsidR="008E1E86" w:rsidRPr="004E1498" w:rsidRDefault="008E1E86" w:rsidP="000F0765">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0F0765">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58F75C2E" w:rsidR="004E1498" w:rsidRPr="004E1498" w:rsidRDefault="004E1498" w:rsidP="000F0765">
      <w:pPr>
        <w:jc w:val="both"/>
        <w:outlineLvl w:val="0"/>
        <w:rPr>
          <w:rFonts w:eastAsia="Times New Roman" w:cs="Times New Roman"/>
          <w:lang w:eastAsia="cs-CZ"/>
        </w:rPr>
      </w:pPr>
      <w:r w:rsidRPr="004E1498">
        <w:rPr>
          <w:rFonts w:eastAsia="Times New Roman" w:cs="Times New Roman"/>
          <w:lang w:eastAsia="cs-CZ"/>
        </w:rPr>
        <w:t xml:space="preserve">Tato smlouva je uzavřena na základě výsledků zadávacího </w:t>
      </w:r>
      <w:r w:rsidR="00653F5F">
        <w:rPr>
          <w:rFonts w:eastAsia="Times New Roman" w:cs="Times New Roman"/>
          <w:lang w:eastAsia="cs-CZ"/>
        </w:rPr>
        <w:t>řízení veřejné zakázky</w:t>
      </w:r>
      <w:r w:rsidR="004F47D9">
        <w:rPr>
          <w:rFonts w:eastAsia="Times New Roman" w:cs="Times New Roman"/>
          <w:lang w:eastAsia="cs-CZ"/>
        </w:rPr>
        <w:t xml:space="preserve"> na zpracování projektové dokumentace</w:t>
      </w:r>
      <w:r w:rsidR="00653F5F">
        <w:rPr>
          <w:rFonts w:eastAsia="Times New Roman" w:cs="Times New Roman"/>
          <w:lang w:eastAsia="cs-CZ"/>
        </w:rPr>
        <w:t xml:space="preserve"> s názvem</w:t>
      </w:r>
      <w:r w:rsidR="006241AD">
        <w:rPr>
          <w:rFonts w:eastAsia="Times New Roman" w:cs="Times New Roman"/>
          <w:lang w:eastAsia="cs-CZ"/>
        </w:rPr>
        <w:t>:</w:t>
      </w:r>
      <w:r w:rsidR="00653F5F">
        <w:rPr>
          <w:rFonts w:eastAsia="Times New Roman" w:cs="Times New Roman"/>
          <w:lang w:eastAsia="cs-CZ"/>
        </w:rPr>
        <w:t xml:space="preserve"> </w:t>
      </w:r>
      <w:r w:rsidR="00527421" w:rsidRPr="000F0765">
        <w:rPr>
          <w:rFonts w:eastAsia="Times New Roman" w:cs="Times New Roman"/>
          <w:b/>
          <w:lang w:eastAsia="cs-CZ"/>
        </w:rPr>
        <w:t>„</w:t>
      </w:r>
      <w:r w:rsidR="004F47D9" w:rsidRPr="004F47D9">
        <w:rPr>
          <w:b/>
          <w:bCs/>
          <w:sz w:val="20"/>
          <w:szCs w:val="20"/>
        </w:rPr>
        <w:t>Oprava trati v úseku Kunovice – Veselí nad Moravou</w:t>
      </w:r>
      <w:r w:rsidR="00F32266" w:rsidRPr="000F0765">
        <w:rPr>
          <w:b/>
          <w:sz w:val="20"/>
          <w:szCs w:val="20"/>
          <w:lang w:eastAsia="ar-SA"/>
        </w:rPr>
        <w:t>“</w:t>
      </w:r>
      <w:r w:rsidR="003C562E" w:rsidRPr="000F0765">
        <w:rPr>
          <w:rFonts w:eastAsia="Times New Roman" w:cs="Times New Roman"/>
          <w:lang w:eastAsia="cs-CZ"/>
        </w:rPr>
        <w:t xml:space="preserve"> </w:t>
      </w:r>
      <w:r w:rsidRPr="002A2FA2">
        <w:rPr>
          <w:rFonts w:eastAsia="Times New Roman" w:cs="Times New Roman"/>
          <w:lang w:eastAsia="cs-CZ"/>
        </w:rPr>
        <w:t>ev. č. veřejné zakázky</w:t>
      </w:r>
      <w:r w:rsidR="00653F5F">
        <w:rPr>
          <w:rFonts w:eastAsia="Times New Roman" w:cs="Times New Roman"/>
          <w:lang w:eastAsia="cs-CZ"/>
        </w:rPr>
        <w:t xml:space="preserve"> </w:t>
      </w:r>
      <w:r w:rsidR="00D34CD4">
        <w:rPr>
          <w:rFonts w:eastAsia="Times New Roman" w:cs="Times New Roman"/>
          <w:lang w:eastAsia="cs-CZ"/>
        </w:rPr>
        <w:t>633202</w:t>
      </w:r>
      <w:r w:rsidR="004F47D9">
        <w:rPr>
          <w:rFonts w:eastAsia="Times New Roman" w:cs="Times New Roman"/>
          <w:lang w:eastAsia="cs-CZ"/>
        </w:rPr>
        <w:t>16</w:t>
      </w:r>
      <w:r w:rsidR="00653F5F">
        <w:rPr>
          <w:rFonts w:eastAsia="Times New Roman" w:cs="Times New Roman"/>
          <w:lang w:eastAsia="cs-CZ"/>
        </w:rPr>
        <w:t xml:space="preserve"> zveřejněné dne </w:t>
      </w:r>
      <w:r w:rsidR="00653F5F" w:rsidRPr="00653F5F">
        <w:rPr>
          <w:rFonts w:eastAsia="Times New Roman" w:cs="Times New Roman"/>
          <w:highlight w:val="green"/>
          <w:lang w:eastAsia="cs-CZ"/>
        </w:rPr>
        <w:t>………</w:t>
      </w:r>
      <w:r w:rsidR="00653F5F">
        <w:rPr>
          <w:rFonts w:eastAsia="Times New Roman" w:cs="Times New Roman"/>
          <w:lang w:eastAsia="cs-CZ"/>
        </w:rPr>
        <w:t xml:space="preserve"> v elektronickém nástroji E-ZAK</w:t>
      </w:r>
      <w:r w:rsidR="000D278B"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642B196F" w14:textId="77777777" w:rsidR="004E1498" w:rsidRPr="00950C1F" w:rsidRDefault="004E1498" w:rsidP="000F0765">
      <w:pPr>
        <w:pStyle w:val="Nadpis1"/>
        <w:jc w:val="both"/>
      </w:pPr>
      <w:r w:rsidRPr="00950C1F">
        <w:t>Dílo</w:t>
      </w:r>
    </w:p>
    <w:p w14:paraId="75B8D031" w14:textId="29C9B754" w:rsidR="004E1498" w:rsidRPr="006C7697" w:rsidRDefault="004E1498" w:rsidP="00133B41">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133B41">
      <w:pPr>
        <w:pStyle w:val="Nadpis1"/>
        <w:jc w:val="both"/>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73DCFDB1" w14:textId="67AF8F9B" w:rsidR="004F47D9" w:rsidRPr="004F47D9" w:rsidRDefault="004F47D9" w:rsidP="004F47D9">
      <w:pPr>
        <w:pStyle w:val="Nadpis2"/>
        <w:spacing w:after="120"/>
        <w:ind w:left="578" w:hanging="578"/>
        <w:contextualSpacing w:val="0"/>
        <w:rPr>
          <w:rFonts w:eastAsia="Verdana"/>
        </w:rPr>
      </w:pPr>
      <w:r>
        <w:rPr>
          <w:rFonts w:eastAsia="Verdana"/>
        </w:rPr>
        <w:t xml:space="preserve">Předmětem díla je </w:t>
      </w:r>
      <w:r w:rsidRPr="004F47D9">
        <w:rPr>
          <w:rFonts w:eastAsia="Verdana"/>
        </w:rPr>
        <w:t>zpracování dokumentace pro stavební povolení (Projekt stavby ve smyslu směrnice GŘ SŽDC č.11/2016 v platném znění). Dále řešení dokumentace ve stupni Dokumentace pro územní rozhodnutí. Projektant zajistí vydání územního rozhodnutí a stavebního povolení, dle projednání ve stavebním řízení. Projektová dokumentace bude řešit opravné práce dle rozsahu a podmínek uvedených v zadávací dokumentaci viz příloha „Záměr projektu“ uvedený v příloze této Výzvy. Realizace stavby bude následně řešena v režimu opravných prací objednatele. Dokumentace bude zpracována v souladu s vyhl. č. 146/2008 Sb. o rozsahu a obsahu projektové dokumentace dopravních staveb a Směrnicí GŘ SŽDC č.11/2006 „Dokumentace pro přípravu staveb na železničních drahách celostátních a regionálních“ č. j. 13511/06-OP v platném znění.</w:t>
      </w:r>
    </w:p>
    <w:p w14:paraId="7FFD726C" w14:textId="77777777" w:rsidR="004F47D9" w:rsidRPr="004F47D9" w:rsidRDefault="004F47D9" w:rsidP="004F47D9">
      <w:pPr>
        <w:pStyle w:val="Nadpis2"/>
        <w:spacing w:after="120"/>
        <w:ind w:left="578" w:hanging="578"/>
        <w:contextualSpacing w:val="0"/>
        <w:rPr>
          <w:rFonts w:eastAsia="Verdana"/>
        </w:rPr>
      </w:pPr>
      <w:r w:rsidRPr="004F47D9">
        <w:rPr>
          <w:rFonts w:eastAsia="Verdana"/>
        </w:rPr>
        <w:lastRenderedPageBreak/>
        <w:t>Projektant zajistí na základě plné moci veškerá vyjádření správců sítí a dotčených orgánů ve stavebním řízení vč. majetkoprávní části dle platné legislativy. Kromě obecných požadavků vyplývajících z právních předpisů a směrnic Správy železnic, státní organizace, bude projektant řešit také výlukovou činnost, uzávěry komunikací, koordinaci prací všech odborností, postup výstavby a geodetickou dokumentaci.</w:t>
      </w:r>
    </w:p>
    <w:p w14:paraId="391B94A4" w14:textId="77777777" w:rsidR="004F47D9" w:rsidRPr="004F47D9" w:rsidRDefault="004F47D9" w:rsidP="004F47D9">
      <w:pPr>
        <w:pStyle w:val="Nadpis2"/>
        <w:spacing w:after="120"/>
        <w:ind w:left="578" w:hanging="578"/>
        <w:contextualSpacing w:val="0"/>
        <w:rPr>
          <w:rFonts w:eastAsia="Verdana"/>
        </w:rPr>
      </w:pPr>
      <w:r w:rsidRPr="004F47D9">
        <w:rPr>
          <w:rFonts w:eastAsia="Verdana"/>
        </w:rPr>
        <w:t>Projektant zpracuje rozpočet dle metodiky Sborníku pro údržbu a opravy železniční infrastruktury (dále jen Sborník), který je zpracován v souladu s obecně platnými právními předpisy a technickými předpisy, s interními předpisy a technickými kvalitativními podmínkami (TKP) správce železniční infrastruktury podle oborové příslušnosti v platném znění a v souladu s vyhláškou. Mosty se rozpočtují dle platného ceníku URS – platná ceníková soustava stavebních a montážních prací dle ÚRS.  Sborník prací a materiálů pro údržbu a opravy železniční infrastruktury (dále Sborník ÚOŽI) a CS ÚRS je závazný pro sestavování soupisu prací, dodávek a služeb na opravy a údržbu železniční infrastruktury v režimu veřejných zakázek ve smyslu zákona č. 134/2016 Sb., o veřejných zakázkách a jeho použití při sestavování soupisů prací podléhá ustanovením prováděcí vyhlášky č. 169/2016 Sb., kterou se stanoví rozsahu dokumentace veřejné zakázky na stavební práce a soupisu stavebních prací, dodávek a služeb s výkazem výměr. Projektant předá Rozpočet, Soupis prací bez cen (formát veřejná zakázka) vč. zdrojového souboru v programu Kros (typ souboru *.KROS zakázka). Budou použity aktuální cenové databáze CS Sborník ÚOŽI, resp. CS ÚRS (pro práce, které nelze najít v CS Sborník OUŽI a pro práce a dodávky související s mostními objekty). Pokud bude v době odevzdání platit nová cenová databáze, bude zpracován rozpočet v této databázi.</w:t>
      </w:r>
    </w:p>
    <w:p w14:paraId="722237B5" w14:textId="77777777" w:rsidR="004F47D9" w:rsidRPr="004F47D9" w:rsidRDefault="004F47D9" w:rsidP="004F47D9">
      <w:pPr>
        <w:pStyle w:val="Nadpis2"/>
        <w:spacing w:after="120"/>
        <w:ind w:left="578" w:hanging="578"/>
        <w:contextualSpacing w:val="0"/>
        <w:rPr>
          <w:rFonts w:eastAsia="Verdana"/>
        </w:rPr>
      </w:pPr>
      <w:r w:rsidRPr="004F47D9">
        <w:rPr>
          <w:rFonts w:eastAsia="Verdana"/>
        </w:rPr>
        <w:t xml:space="preserve">Součástí dokumentace bude Technologický postup výlukových prací grafický s lineárním rozvinutím km osy. Pro zpracování harmonogramu je závazný pokyn GŘ SŽDC č.17/2013. V rámci opravy bude vyhotovena dokumentace skutečného provedení včetně opravy veškeré dotčené dokumentace. </w:t>
      </w:r>
    </w:p>
    <w:p w14:paraId="25C01CAE" w14:textId="77777777" w:rsidR="004F47D9" w:rsidRPr="004F47D9" w:rsidRDefault="004F47D9" w:rsidP="004F47D9">
      <w:pPr>
        <w:pStyle w:val="Nadpis2"/>
        <w:spacing w:after="120"/>
        <w:ind w:left="578" w:hanging="578"/>
        <w:contextualSpacing w:val="0"/>
        <w:rPr>
          <w:rFonts w:eastAsia="Verdana"/>
        </w:rPr>
      </w:pPr>
      <w:r w:rsidRPr="004F47D9">
        <w:rPr>
          <w:rFonts w:eastAsia="Verdana"/>
        </w:rPr>
        <w:t>Dokumentace bude dodána v 6 listinných vyhotoveních a v digitální podobě na CD nebo DVD 1x v otevřené ve formátu „.dwg“ a 1x v uzavřené podobě v „.pdf“. Bude zajištěna změna dotčených Průkazů způsobilosti. Součástí zakázky je vypracování tabulek dotčených přejezdů a zajištění jejich schválení.</w:t>
      </w:r>
    </w:p>
    <w:p w14:paraId="1361527A" w14:textId="070E3F9C" w:rsidR="00EB0DB7" w:rsidRPr="00EB0DB7" w:rsidRDefault="00EB0DB7" w:rsidP="00EB0DB7">
      <w:pPr>
        <w:pStyle w:val="Nadpis2"/>
        <w:spacing w:after="120"/>
        <w:ind w:left="578" w:hanging="578"/>
        <w:contextualSpacing w:val="0"/>
        <w:rPr>
          <w:rFonts w:eastAsia="Verdana"/>
          <w:szCs w:val="20"/>
        </w:rPr>
      </w:pPr>
      <w:r w:rsidRPr="00F653EB">
        <w:t xml:space="preserve">Bližší specifikace předmětu </w:t>
      </w:r>
      <w:r>
        <w:t>plnění</w:t>
      </w:r>
      <w:r w:rsidRPr="00F653EB">
        <w:t xml:space="preserve"> je přílohou č. 1</w:t>
      </w:r>
      <w:r>
        <w:t xml:space="preserve"> této smlouvy.</w:t>
      </w:r>
    </w:p>
    <w:p w14:paraId="600D21AE" w14:textId="1C21AF76" w:rsidR="004E1498" w:rsidRPr="00D15E50" w:rsidRDefault="0029605F" w:rsidP="00133B41">
      <w:pPr>
        <w:pStyle w:val="Nadpis1"/>
        <w:jc w:val="both"/>
        <w:rPr>
          <w:rFonts w:eastAsia="Times New Roman"/>
          <w:lang w:eastAsia="cs-CZ"/>
        </w:rPr>
      </w:pPr>
      <w:r w:rsidRPr="00D15E50">
        <w:rPr>
          <w:rFonts w:eastAsia="Times New Roman"/>
          <w:lang w:eastAsia="cs-CZ"/>
        </w:rPr>
        <w:t xml:space="preserve">Cena díla </w:t>
      </w:r>
    </w:p>
    <w:p w14:paraId="0382F771" w14:textId="51867CF6" w:rsidR="00810E9B" w:rsidRPr="006A53AC" w:rsidRDefault="00810E9B" w:rsidP="00133B41">
      <w:pPr>
        <w:pStyle w:val="Nadpis2"/>
        <w:spacing w:after="120"/>
        <w:ind w:left="578"/>
        <w:contextualSpacing w:val="0"/>
      </w:pPr>
      <w:r w:rsidRPr="006A53AC">
        <w:t xml:space="preserve">Cena bez DPH </w:t>
      </w:r>
      <w:r w:rsidRPr="006A53AC">
        <w:tab/>
      </w:r>
      <w:r w:rsidRPr="006A53AC">
        <w:tab/>
        <w:t xml:space="preserve"> </w:t>
      </w:r>
      <w:r w:rsidR="00C53DEF">
        <w:rPr>
          <w:b/>
          <w:highlight w:val="yellow"/>
        </w:rPr>
        <w:t>………………. Kč</w:t>
      </w:r>
      <w:r w:rsidRPr="00653F5F">
        <w:rPr>
          <w:highlight w:val="yellow"/>
        </w:rPr>
        <w:t xml:space="preserve"> </w:t>
      </w:r>
    </w:p>
    <w:p w14:paraId="525B4ED7" w14:textId="2CFB63CA" w:rsidR="00810E9B" w:rsidRPr="006A53AC" w:rsidRDefault="00810E9B" w:rsidP="00133B41">
      <w:pPr>
        <w:pStyle w:val="Nadpis2"/>
        <w:numPr>
          <w:ilvl w:val="0"/>
          <w:numId w:val="0"/>
        </w:numPr>
        <w:spacing w:after="120"/>
        <w:ind w:left="578"/>
        <w:contextualSpacing w:val="0"/>
      </w:pPr>
      <w:r w:rsidRPr="006A53AC">
        <w:t xml:space="preserve">Výše DPH 21%     </w:t>
      </w:r>
      <w:r w:rsidRPr="006A53AC">
        <w:tab/>
        <w:t xml:space="preserve"> </w:t>
      </w:r>
      <w:r w:rsidRPr="00653F5F">
        <w:rPr>
          <w:highlight w:val="yellow"/>
        </w:rPr>
        <w:t>………………. Kč</w:t>
      </w:r>
    </w:p>
    <w:p w14:paraId="36DF1F7F" w14:textId="4F03A18F" w:rsidR="00810E9B" w:rsidRDefault="00810E9B" w:rsidP="00133B41">
      <w:pPr>
        <w:pStyle w:val="Nadpis2"/>
        <w:numPr>
          <w:ilvl w:val="0"/>
          <w:numId w:val="0"/>
        </w:numPr>
        <w:spacing w:after="120"/>
        <w:ind w:left="578"/>
        <w:contextualSpacing w:val="0"/>
      </w:pPr>
      <w:r w:rsidRPr="006A53AC">
        <w:t xml:space="preserve">Cena včetně DPH </w:t>
      </w:r>
      <w:r w:rsidRPr="006A53AC">
        <w:tab/>
        <w:t xml:space="preserve"> </w:t>
      </w:r>
      <w:r w:rsidR="00C53DEF">
        <w:rPr>
          <w:highlight w:val="yellow"/>
        </w:rPr>
        <w:t>………………. Kč</w:t>
      </w:r>
    </w:p>
    <w:p w14:paraId="28C81697" w14:textId="7C3A90F5" w:rsidR="00810E9B" w:rsidRPr="006A53AC" w:rsidRDefault="00810E9B" w:rsidP="00133B41">
      <w:pPr>
        <w:pStyle w:val="Nadpis2"/>
      </w:pPr>
      <w:r w:rsidRPr="006A53AC">
        <w:t xml:space="preserve">Fakturace bude provedena </w:t>
      </w:r>
      <w:r w:rsidR="00D15E50">
        <w:t>po předání Díla a podpisu akceptačního protokolu.</w:t>
      </w:r>
    </w:p>
    <w:p w14:paraId="1F177553" w14:textId="103D0D2D" w:rsidR="00810E9B" w:rsidRPr="006A53AC" w:rsidRDefault="00810E9B" w:rsidP="00133B41">
      <w:pPr>
        <w:pStyle w:val="Nadpis2"/>
        <w:numPr>
          <w:ilvl w:val="0"/>
          <w:numId w:val="0"/>
        </w:numPr>
        <w:ind w:left="576"/>
      </w:pPr>
    </w:p>
    <w:p w14:paraId="1AFBED57" w14:textId="77777777" w:rsidR="004E1498" w:rsidRPr="00390C86" w:rsidRDefault="004E1498" w:rsidP="00133B41">
      <w:pPr>
        <w:pStyle w:val="Nadpis1"/>
        <w:jc w:val="both"/>
        <w:rPr>
          <w:rFonts w:eastAsia="Times New Roman"/>
          <w:lang w:eastAsia="cs-CZ"/>
        </w:rPr>
      </w:pPr>
      <w:r w:rsidRPr="004E1498">
        <w:rPr>
          <w:rFonts w:eastAsia="Times New Roman"/>
          <w:lang w:eastAsia="cs-CZ"/>
        </w:rPr>
        <w:t xml:space="preserve">Místo a </w:t>
      </w:r>
      <w:r w:rsidRPr="00390C86">
        <w:rPr>
          <w:rFonts w:eastAsia="Times New Roman"/>
          <w:lang w:eastAsia="cs-CZ"/>
        </w:rPr>
        <w:t>doba plnění</w:t>
      </w:r>
    </w:p>
    <w:p w14:paraId="4DCCF507" w14:textId="06B637C2" w:rsidR="004E1498" w:rsidRPr="002A2FA2" w:rsidRDefault="004E1498" w:rsidP="00133B41">
      <w:pPr>
        <w:pStyle w:val="Nadpis2"/>
        <w:spacing w:after="120"/>
        <w:ind w:left="578" w:hanging="578"/>
        <w:contextualSpacing w:val="0"/>
      </w:pPr>
      <w:r w:rsidRPr="00390C86">
        <w:t>Místem plnění je</w:t>
      </w:r>
      <w:r w:rsidR="00390C86" w:rsidRPr="00390C86">
        <w:t xml:space="preserve"> pracoviště </w:t>
      </w:r>
      <w:r w:rsidR="006241AD">
        <w:t>OŘ Olomouc</w:t>
      </w:r>
    </w:p>
    <w:p w14:paraId="4AE0DFE4" w14:textId="7BC61729" w:rsidR="004E1498" w:rsidRDefault="004E1498" w:rsidP="00133B41">
      <w:pPr>
        <w:pStyle w:val="Nadpis2"/>
        <w:spacing w:after="120"/>
        <w:ind w:left="578" w:hanging="578"/>
        <w:contextualSpacing w:val="0"/>
      </w:pPr>
      <w:r w:rsidRPr="00390C86">
        <w:t>Zhotovitel je povinen provést Dílo</w:t>
      </w:r>
      <w:r w:rsidR="00F00358">
        <w:t>:</w:t>
      </w:r>
      <w:r w:rsidRPr="00390C86">
        <w:t xml:space="preserve"> </w:t>
      </w:r>
    </w:p>
    <w:p w14:paraId="75CD9133" w14:textId="3403696E" w:rsidR="00C53DEF" w:rsidRPr="00C53DEF" w:rsidRDefault="00C53DEF" w:rsidP="00C53DEF">
      <w:pPr>
        <w:pStyle w:val="Nadpis4"/>
        <w:numPr>
          <w:ilvl w:val="0"/>
          <w:numId w:val="34"/>
        </w:numPr>
        <w:ind w:left="1134" w:hanging="270"/>
        <w:rPr>
          <w:b w:val="0"/>
        </w:rPr>
      </w:pPr>
      <w:r w:rsidRPr="00C53DEF">
        <w:t>etapa –</w:t>
      </w:r>
      <w:r w:rsidRPr="00C53DEF">
        <w:rPr>
          <w:b w:val="0"/>
        </w:rPr>
        <w:t xml:space="preserve"> do 31. 12. 2020 budou provedeny práce v objemu 30% z celkového </w:t>
      </w:r>
    </w:p>
    <w:p w14:paraId="1210EABA" w14:textId="77777777" w:rsidR="00C53DEF" w:rsidRDefault="00C53DEF" w:rsidP="00C53DEF">
      <w:pPr>
        <w:pStyle w:val="Nadpis4"/>
        <w:numPr>
          <w:ilvl w:val="0"/>
          <w:numId w:val="0"/>
        </w:numPr>
        <w:spacing w:before="0"/>
        <w:ind w:left="851"/>
        <w:rPr>
          <w:b w:val="0"/>
        </w:rPr>
      </w:pPr>
      <w:r w:rsidRPr="00C53DEF">
        <w:rPr>
          <w:b w:val="0"/>
        </w:rPr>
        <w:t xml:space="preserve">             </w:t>
      </w:r>
      <w:r w:rsidRPr="00C53DEF">
        <w:rPr>
          <w:b w:val="0"/>
        </w:rPr>
        <w:t xml:space="preserve">    </w:t>
      </w:r>
      <w:r w:rsidRPr="00C53DEF">
        <w:rPr>
          <w:b w:val="0"/>
        </w:rPr>
        <w:t xml:space="preserve">rozsahu díla. Na základě toho bude dodavateli zaplaceno </w:t>
      </w:r>
      <w:r w:rsidRPr="00C53DEF">
        <w:t>30 %</w:t>
      </w:r>
      <w:r w:rsidRPr="00C53DEF">
        <w:rPr>
          <w:b w:val="0"/>
        </w:rPr>
        <w:t xml:space="preserve"> z celkové              </w:t>
      </w:r>
      <w:r>
        <w:rPr>
          <w:b w:val="0"/>
        </w:rPr>
        <w:t xml:space="preserve">  </w:t>
      </w:r>
    </w:p>
    <w:p w14:paraId="72017570" w14:textId="45EBC760" w:rsidR="00C53DEF" w:rsidRPr="00C53DEF" w:rsidRDefault="00C53DEF" w:rsidP="00C53DEF">
      <w:pPr>
        <w:pStyle w:val="Nadpis4"/>
        <w:numPr>
          <w:ilvl w:val="0"/>
          <w:numId w:val="0"/>
        </w:numPr>
        <w:spacing w:before="0"/>
        <w:ind w:left="851"/>
        <w:rPr>
          <w:b w:val="0"/>
        </w:rPr>
      </w:pPr>
      <w:r>
        <w:rPr>
          <w:b w:val="0"/>
        </w:rPr>
        <w:t xml:space="preserve">                 </w:t>
      </w:r>
      <w:r w:rsidRPr="00C53DEF">
        <w:rPr>
          <w:b w:val="0"/>
        </w:rPr>
        <w:t>ceny díla.</w:t>
      </w:r>
      <w:r w:rsidRPr="00C53DEF">
        <w:rPr>
          <w:b w:val="0"/>
        </w:rPr>
        <w:tab/>
      </w:r>
    </w:p>
    <w:p w14:paraId="3D032B8B" w14:textId="1D3C9889" w:rsidR="00C53DEF" w:rsidRPr="00C53DEF" w:rsidRDefault="00C53DEF" w:rsidP="00C53DEF">
      <w:pPr>
        <w:pStyle w:val="Nadpis4"/>
        <w:numPr>
          <w:ilvl w:val="0"/>
          <w:numId w:val="34"/>
        </w:numPr>
        <w:spacing w:before="120" w:line="240" w:lineRule="auto"/>
        <w:ind w:left="1219" w:hanging="357"/>
        <w:rPr>
          <w:b w:val="0"/>
        </w:rPr>
      </w:pPr>
      <w:r w:rsidRPr="00C53DEF">
        <w:t>etapa –</w:t>
      </w:r>
      <w:r w:rsidRPr="00C53DEF">
        <w:rPr>
          <w:b w:val="0"/>
        </w:rPr>
        <w:t xml:space="preserve"> do 31. 3. 2021 budou provedeny práce v objemu 60% z celkového </w:t>
      </w:r>
    </w:p>
    <w:p w14:paraId="1E8760D2" w14:textId="77777777" w:rsidR="00C53DEF" w:rsidRDefault="00C53DEF" w:rsidP="00C53DEF">
      <w:pPr>
        <w:pStyle w:val="Nadpis4"/>
        <w:numPr>
          <w:ilvl w:val="0"/>
          <w:numId w:val="0"/>
        </w:numPr>
        <w:spacing w:before="0"/>
        <w:ind w:left="851"/>
        <w:rPr>
          <w:b w:val="0"/>
        </w:rPr>
      </w:pPr>
      <w:r w:rsidRPr="00C53DEF">
        <w:rPr>
          <w:b w:val="0"/>
        </w:rPr>
        <w:t xml:space="preserve">            </w:t>
      </w:r>
      <w:r>
        <w:rPr>
          <w:b w:val="0"/>
        </w:rPr>
        <w:t xml:space="preserve">     </w:t>
      </w:r>
      <w:r w:rsidRPr="00C53DEF">
        <w:rPr>
          <w:b w:val="0"/>
        </w:rPr>
        <w:t xml:space="preserve"> rozsahu díla. Na základě toho bude dodavateli zaplaceno </w:t>
      </w:r>
      <w:r w:rsidRPr="00C53DEF">
        <w:t>60 %</w:t>
      </w:r>
      <w:r w:rsidRPr="00C53DEF">
        <w:rPr>
          <w:b w:val="0"/>
        </w:rPr>
        <w:t xml:space="preserve"> z celkové  </w:t>
      </w:r>
      <w:r>
        <w:rPr>
          <w:b w:val="0"/>
        </w:rPr>
        <w:t xml:space="preserve"> </w:t>
      </w:r>
    </w:p>
    <w:p w14:paraId="4AB31EE9" w14:textId="3417FC37" w:rsidR="00C53DEF" w:rsidRPr="00C53DEF" w:rsidRDefault="00C53DEF" w:rsidP="00C53DEF">
      <w:pPr>
        <w:pStyle w:val="Nadpis4"/>
        <w:numPr>
          <w:ilvl w:val="0"/>
          <w:numId w:val="0"/>
        </w:numPr>
        <w:spacing w:before="0" w:after="120"/>
        <w:ind w:left="851"/>
        <w:rPr>
          <w:b w:val="0"/>
        </w:rPr>
      </w:pPr>
      <w:r>
        <w:rPr>
          <w:b w:val="0"/>
        </w:rPr>
        <w:t xml:space="preserve">                  </w:t>
      </w:r>
      <w:r w:rsidRPr="00C53DEF">
        <w:rPr>
          <w:b w:val="0"/>
        </w:rPr>
        <w:t>ceny díla.</w:t>
      </w:r>
    </w:p>
    <w:p w14:paraId="4E257D70" w14:textId="77777777" w:rsidR="00C53DEF" w:rsidRDefault="00C53DEF" w:rsidP="00C53DEF">
      <w:pPr>
        <w:pStyle w:val="Nadpis4"/>
        <w:numPr>
          <w:ilvl w:val="0"/>
          <w:numId w:val="34"/>
        </w:numPr>
        <w:spacing w:before="0"/>
        <w:rPr>
          <w:b w:val="0"/>
        </w:rPr>
      </w:pPr>
      <w:r w:rsidRPr="00C53DEF">
        <w:t>etapa –</w:t>
      </w:r>
      <w:r w:rsidRPr="00C53DEF">
        <w:rPr>
          <w:b w:val="0"/>
        </w:rPr>
        <w:t xml:space="preserve"> do 30. 6. 2021 dodání projektové dokumentace vč. vypořádání </w:t>
      </w:r>
      <w:r>
        <w:rPr>
          <w:b w:val="0"/>
        </w:rPr>
        <w:t xml:space="preserve">  </w:t>
      </w:r>
    </w:p>
    <w:p w14:paraId="6AE66E2C" w14:textId="77777777" w:rsidR="00C53DEF" w:rsidRDefault="00C53DEF" w:rsidP="00C53DEF">
      <w:pPr>
        <w:pStyle w:val="Nadpis4"/>
        <w:numPr>
          <w:ilvl w:val="0"/>
          <w:numId w:val="0"/>
        </w:numPr>
        <w:spacing w:before="0"/>
        <w:ind w:left="1224"/>
        <w:rPr>
          <w:b w:val="0"/>
        </w:rPr>
      </w:pPr>
      <w:r>
        <w:rPr>
          <w:b w:val="0"/>
        </w:rPr>
        <w:t xml:space="preserve">            </w:t>
      </w:r>
      <w:r w:rsidRPr="00C53DEF">
        <w:rPr>
          <w:b w:val="0"/>
        </w:rPr>
        <w:t xml:space="preserve">připomínek </w:t>
      </w:r>
      <w:r w:rsidRPr="00C53DEF">
        <w:rPr>
          <w:b w:val="0"/>
        </w:rPr>
        <w:t>+</w:t>
      </w:r>
      <w:r w:rsidRPr="00C53DEF">
        <w:rPr>
          <w:b w:val="0"/>
        </w:rPr>
        <w:t xml:space="preserve"> dodání dokladové části (stavební povolení, posouzení shody </w:t>
      </w:r>
      <w:r>
        <w:rPr>
          <w:b w:val="0"/>
        </w:rPr>
        <w:t xml:space="preserve"> </w:t>
      </w:r>
    </w:p>
    <w:p w14:paraId="23211F6F" w14:textId="77777777" w:rsidR="00C53DEF" w:rsidRDefault="00C53DEF" w:rsidP="00C53DEF">
      <w:pPr>
        <w:pStyle w:val="Nadpis4"/>
        <w:numPr>
          <w:ilvl w:val="0"/>
          <w:numId w:val="0"/>
        </w:numPr>
        <w:spacing w:before="0"/>
        <w:ind w:left="1224"/>
        <w:rPr>
          <w:b w:val="0"/>
        </w:rPr>
      </w:pPr>
      <w:r>
        <w:rPr>
          <w:b w:val="0"/>
        </w:rPr>
        <w:t xml:space="preserve">            </w:t>
      </w:r>
      <w:r w:rsidRPr="00C53DEF">
        <w:rPr>
          <w:b w:val="0"/>
        </w:rPr>
        <w:t xml:space="preserve">z hlediska interoperability a dalších dokladů dle požadavků zadavatele). </w:t>
      </w:r>
      <w:r>
        <w:rPr>
          <w:b w:val="0"/>
        </w:rPr>
        <w:t xml:space="preserve"> </w:t>
      </w:r>
    </w:p>
    <w:p w14:paraId="6A0D0B87" w14:textId="77777777" w:rsidR="00C53DEF" w:rsidRDefault="00C53DEF" w:rsidP="00C53DEF">
      <w:pPr>
        <w:pStyle w:val="Nadpis4"/>
        <w:numPr>
          <w:ilvl w:val="0"/>
          <w:numId w:val="0"/>
        </w:numPr>
        <w:spacing w:before="0"/>
        <w:ind w:left="1224"/>
        <w:rPr>
          <w:b w:val="0"/>
        </w:rPr>
      </w:pPr>
      <w:r>
        <w:rPr>
          <w:b w:val="0"/>
        </w:rPr>
        <w:t xml:space="preserve">            </w:t>
      </w:r>
      <w:r w:rsidRPr="00C53DEF">
        <w:rPr>
          <w:b w:val="0"/>
        </w:rPr>
        <w:t xml:space="preserve">Na základě toho bude dodavateli zaplaceno zbylých </w:t>
      </w:r>
      <w:r w:rsidRPr="00C53DEF">
        <w:t>10 %</w:t>
      </w:r>
      <w:r w:rsidRPr="00C53DEF">
        <w:rPr>
          <w:b w:val="0"/>
        </w:rPr>
        <w:t xml:space="preserve"> z celkové ceny </w:t>
      </w:r>
      <w:r>
        <w:rPr>
          <w:b w:val="0"/>
        </w:rPr>
        <w:t xml:space="preserve"> </w:t>
      </w:r>
    </w:p>
    <w:p w14:paraId="399B06C5" w14:textId="578D9E60" w:rsidR="00C53DEF" w:rsidRPr="00C53DEF" w:rsidRDefault="00C53DEF" w:rsidP="00C53DEF">
      <w:pPr>
        <w:pStyle w:val="Nadpis4"/>
        <w:numPr>
          <w:ilvl w:val="0"/>
          <w:numId w:val="0"/>
        </w:numPr>
        <w:spacing w:before="0"/>
        <w:ind w:left="1224"/>
        <w:rPr>
          <w:b w:val="0"/>
        </w:rPr>
      </w:pPr>
      <w:r>
        <w:rPr>
          <w:b w:val="0"/>
        </w:rPr>
        <w:t xml:space="preserve">            </w:t>
      </w:r>
      <w:r w:rsidRPr="00C53DEF">
        <w:rPr>
          <w:b w:val="0"/>
        </w:rPr>
        <w:t>díla.</w:t>
      </w:r>
    </w:p>
    <w:p w14:paraId="0473CCCC" w14:textId="34DF57E2" w:rsidR="00C53DEF" w:rsidRDefault="00C53DEF" w:rsidP="00C53DEF"/>
    <w:p w14:paraId="38280017" w14:textId="77777777" w:rsidR="004E1498" w:rsidRPr="00390C86" w:rsidRDefault="004E1498" w:rsidP="00C53DEF">
      <w:pPr>
        <w:pStyle w:val="Nadpis1"/>
        <w:jc w:val="both"/>
        <w:rPr>
          <w:rFonts w:eastAsia="Times New Roman"/>
          <w:lang w:eastAsia="cs-CZ"/>
        </w:rPr>
      </w:pPr>
      <w:r w:rsidRPr="00390C86">
        <w:rPr>
          <w:rFonts w:eastAsia="Times New Roman"/>
          <w:lang w:eastAsia="cs-CZ"/>
        </w:rPr>
        <w:lastRenderedPageBreak/>
        <w:t>Záruční doba</w:t>
      </w:r>
    </w:p>
    <w:p w14:paraId="76B099DF" w14:textId="278DFA3F" w:rsidR="004E1498" w:rsidRPr="006C7697" w:rsidRDefault="004E1498" w:rsidP="00C53DEF">
      <w:pPr>
        <w:pStyle w:val="Nadpis2"/>
      </w:pPr>
      <w:r w:rsidRPr="004E1498">
        <w:t xml:space="preserve">Záruční doba činí </w:t>
      </w:r>
      <w:r w:rsidR="006241AD" w:rsidRPr="00653F5F">
        <w:rPr>
          <w:highlight w:val="yellow"/>
        </w:rPr>
        <w:t>……………………</w:t>
      </w:r>
    </w:p>
    <w:p w14:paraId="700C0934" w14:textId="52529E28" w:rsidR="004E1498" w:rsidRPr="004E1498" w:rsidRDefault="004E1498" w:rsidP="00C53DEF">
      <w:pPr>
        <w:pStyle w:val="Nadpis1"/>
        <w:jc w:val="both"/>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34B902B0" w14:textId="72BE52C4" w:rsidR="00EB0DB7" w:rsidRDefault="004E1498" w:rsidP="00C53DEF">
      <w:pPr>
        <w:pStyle w:val="Nadpis2"/>
      </w:pPr>
      <w:r w:rsidRPr="004E1498">
        <w:t>Na pro</w:t>
      </w:r>
      <w:r w:rsidR="000D278B">
        <w:t>vedení Díla se budou podílet pod</w:t>
      </w:r>
      <w:r w:rsidRPr="004E1498">
        <w:t xml:space="preserve">dodavatelé </w:t>
      </w:r>
      <w:r w:rsidRPr="00BC1A5A">
        <w:t>uvedení v příloze č</w:t>
      </w:r>
      <w:r w:rsidR="00390C86" w:rsidRPr="00BC1A5A">
        <w:t>.</w:t>
      </w:r>
      <w:r w:rsidR="00C53DEF">
        <w:t xml:space="preserve"> </w:t>
      </w:r>
      <w:r w:rsidR="00390C86" w:rsidRPr="00BC1A5A">
        <w:t>2</w:t>
      </w:r>
      <w:r w:rsidRPr="00BC1A5A">
        <w:t xml:space="preserve"> této smlouvy</w:t>
      </w:r>
      <w:r w:rsidRPr="004E1498">
        <w:t>.</w:t>
      </w:r>
    </w:p>
    <w:p w14:paraId="21F816C5" w14:textId="746DEBE1" w:rsidR="004E1498" w:rsidRPr="006A53AC" w:rsidRDefault="004E1498" w:rsidP="00C53DEF">
      <w:pPr>
        <w:pStyle w:val="Nadpis1"/>
        <w:jc w:val="both"/>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C53DEF">
      <w:pPr>
        <w:pStyle w:val="Nadpis2"/>
        <w:spacing w:after="120"/>
        <w:contextualSpacing w:val="0"/>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C53DEF">
      <w:pPr>
        <w:pStyle w:val="Nadpis2"/>
        <w:spacing w:after="120"/>
        <w:contextualSpacing w:val="0"/>
      </w:pPr>
      <w:r w:rsidRPr="00BC1A5A">
        <w:t>Kontaktními osobami smluvních stran jsou</w:t>
      </w:r>
    </w:p>
    <w:p w14:paraId="421730E4" w14:textId="77777777" w:rsidR="00EB0DB7" w:rsidRDefault="004E1498" w:rsidP="00C53DEF">
      <w:pPr>
        <w:pStyle w:val="Nadpis3"/>
        <w:tabs>
          <w:tab w:val="left" w:pos="1134"/>
        </w:tabs>
        <w:spacing w:after="120"/>
        <w:ind w:left="993" w:hanging="567"/>
        <w:contextualSpacing w:val="0"/>
        <w:jc w:val="left"/>
      </w:pPr>
      <w:r w:rsidRPr="00BC1A5A">
        <w:t>za Objednatele</w:t>
      </w:r>
      <w:r w:rsidR="00653F5F">
        <w:t>:</w:t>
      </w:r>
      <w:r w:rsidRPr="00BC1A5A">
        <w:t xml:space="preserve"> </w:t>
      </w:r>
    </w:p>
    <w:p w14:paraId="343F2CD9" w14:textId="5E3641CB" w:rsidR="00EB0DB7" w:rsidRDefault="00EB0DB7" w:rsidP="00EB0DB7">
      <w:pPr>
        <w:spacing w:after="0" w:line="360" w:lineRule="auto"/>
      </w:pPr>
      <w:r>
        <w:t xml:space="preserve">             Za ST: Ing. Zdenko Vrťo, e-mail: </w:t>
      </w:r>
      <w:hyperlink r:id="rId8" w:history="1">
        <w:r w:rsidRPr="00BB4627">
          <w:rPr>
            <w:rStyle w:val="Hypertextovodkaz"/>
          </w:rPr>
          <w:t>Vrto@spravazeleznic.cz</w:t>
        </w:r>
      </w:hyperlink>
      <w:r>
        <w:t>, mob.: 724166379</w:t>
      </w:r>
    </w:p>
    <w:p w14:paraId="76A85B31" w14:textId="1A8AB512" w:rsidR="00EB0DB7" w:rsidRDefault="00EB0DB7" w:rsidP="00EB0DB7">
      <w:pPr>
        <w:spacing w:after="0" w:line="360" w:lineRule="auto"/>
      </w:pPr>
      <w:r>
        <w:t xml:space="preserve">             Za SMT: Ing. Kamil Špaček,</w:t>
      </w:r>
      <w:r>
        <w:tab/>
        <w:t xml:space="preserve">e-mail: </w:t>
      </w:r>
      <w:hyperlink r:id="rId9" w:history="1">
        <w:r w:rsidRPr="00BB4627">
          <w:rPr>
            <w:rStyle w:val="Hypertextovodkaz"/>
          </w:rPr>
          <w:t>Spacek@spravazeleznic.cz</w:t>
        </w:r>
      </w:hyperlink>
      <w:r>
        <w:t>, mob.: 606720424</w:t>
      </w:r>
    </w:p>
    <w:p w14:paraId="33BF6941" w14:textId="0178189C" w:rsidR="00EB0DB7" w:rsidRDefault="00EB0DB7" w:rsidP="00EB0DB7">
      <w:pPr>
        <w:spacing w:after="0" w:line="360" w:lineRule="auto"/>
      </w:pPr>
      <w:r>
        <w:t xml:space="preserve">             Za SEE: Ing. Lukáš Zítka, e-mail: </w:t>
      </w:r>
      <w:hyperlink r:id="rId10" w:history="1">
        <w:r w:rsidRPr="00BB4627">
          <w:rPr>
            <w:rStyle w:val="Hypertextovodkaz"/>
          </w:rPr>
          <w:t>Zitka@spravazeleznic.cz</w:t>
        </w:r>
      </w:hyperlink>
      <w:r>
        <w:t>,</w:t>
      </w:r>
      <w:r>
        <w:tab/>
        <w:t>mob.: 724484939</w:t>
      </w:r>
    </w:p>
    <w:p w14:paraId="51359F3B" w14:textId="480ED90C" w:rsidR="00EB0DB7" w:rsidRDefault="00EB0DB7" w:rsidP="00EB0DB7">
      <w:pPr>
        <w:spacing w:after="0" w:line="360" w:lineRule="auto"/>
      </w:pPr>
      <w:r>
        <w:t xml:space="preserve">             Za SSZT: Ing. František Jachan, e-mail: </w:t>
      </w:r>
      <w:hyperlink r:id="rId11" w:history="1">
        <w:r w:rsidRPr="00BB4627">
          <w:rPr>
            <w:rStyle w:val="Hypertextovodkaz"/>
          </w:rPr>
          <w:t>Jachan@spravazeleznic.cz</w:t>
        </w:r>
      </w:hyperlink>
      <w:r>
        <w:t>, mob.: 724248755</w:t>
      </w:r>
    </w:p>
    <w:p w14:paraId="112A7241" w14:textId="7FE66405" w:rsidR="00EB0DB7" w:rsidRDefault="00EB0DB7" w:rsidP="00EB0DB7">
      <w:pPr>
        <w:spacing w:after="0" w:line="360" w:lineRule="auto"/>
      </w:pPr>
      <w:r>
        <w:t xml:space="preserve">             Za SŽG: Ing. Petr Malý, e-mail: </w:t>
      </w:r>
      <w:hyperlink r:id="rId12" w:history="1">
        <w:r w:rsidRPr="00BB4627">
          <w:rPr>
            <w:rStyle w:val="Hypertextovodkaz"/>
          </w:rPr>
          <w:t>Maly@spravazeleznic.cz</w:t>
        </w:r>
      </w:hyperlink>
      <w:r>
        <w:t>, mob.: 972740703</w:t>
      </w:r>
    </w:p>
    <w:p w14:paraId="1C513CD4" w14:textId="6D7D44FC" w:rsidR="004E1498" w:rsidRPr="002A2FA2" w:rsidRDefault="004E1498" w:rsidP="00C53DEF">
      <w:pPr>
        <w:pStyle w:val="Nadpis3"/>
        <w:tabs>
          <w:tab w:val="left" w:pos="993"/>
        </w:tabs>
        <w:spacing w:after="120"/>
        <w:ind w:hanging="294"/>
        <w:contextualSpacing w:val="0"/>
      </w:pPr>
      <w:r w:rsidRPr="002A2FA2">
        <w:t>za Zhotovitele</w:t>
      </w:r>
      <w:r w:rsidR="00653F5F">
        <w:t>:</w:t>
      </w:r>
      <w:r w:rsidRPr="002A2FA2">
        <w:t xml:space="preserve"> </w:t>
      </w:r>
      <w:r w:rsidRPr="00653F5F">
        <w:rPr>
          <w:highlight w:val="yellow"/>
        </w:rPr>
        <w:t>………………</w:t>
      </w:r>
      <w:r w:rsidR="0086114C" w:rsidRPr="00653F5F">
        <w:rPr>
          <w:highlight w:val="yellow"/>
        </w:rPr>
        <w:t>……,</w:t>
      </w:r>
      <w:r w:rsidRPr="00653F5F">
        <w:rPr>
          <w:highlight w:val="yellow"/>
        </w:rPr>
        <w:t xml:space="preserve"> </w:t>
      </w:r>
      <w:r w:rsidR="00EB0DB7">
        <w:rPr>
          <w:highlight w:val="yellow"/>
        </w:rPr>
        <w:t>e-mail</w:t>
      </w:r>
      <w:r w:rsidR="00653F5F">
        <w:rPr>
          <w:highlight w:val="yellow"/>
        </w:rPr>
        <w:t>:</w:t>
      </w:r>
      <w:r w:rsidRPr="00653F5F">
        <w:rPr>
          <w:highlight w:val="yellow"/>
        </w:rPr>
        <w:t xml:space="preserve"> ……………</w:t>
      </w:r>
      <w:r w:rsidR="0086114C" w:rsidRPr="00653F5F">
        <w:rPr>
          <w:highlight w:val="yellow"/>
        </w:rPr>
        <w:t>……,</w:t>
      </w:r>
      <w:r w:rsidRPr="00653F5F">
        <w:rPr>
          <w:highlight w:val="yellow"/>
        </w:rPr>
        <w:t xml:space="preserve"> </w:t>
      </w:r>
      <w:r w:rsidR="00EB0DB7">
        <w:rPr>
          <w:highlight w:val="yellow"/>
        </w:rPr>
        <w:t>mob.</w:t>
      </w:r>
      <w:r w:rsidR="00653F5F">
        <w:rPr>
          <w:highlight w:val="yellow"/>
        </w:rPr>
        <w:t>:</w:t>
      </w:r>
      <w:r w:rsidRPr="00653F5F">
        <w:rPr>
          <w:highlight w:val="yellow"/>
        </w:rPr>
        <w:t xml:space="preserve"> ………………</w:t>
      </w:r>
      <w:r w:rsidR="0086114C" w:rsidRPr="00653F5F">
        <w:rPr>
          <w:highlight w:val="yellow"/>
        </w:rPr>
        <w:t>…….</w:t>
      </w:r>
    </w:p>
    <w:p w14:paraId="739753B3" w14:textId="77777777" w:rsidR="004E1498" w:rsidRPr="00BC1A5A" w:rsidRDefault="004E1498" w:rsidP="00C53DEF">
      <w:pPr>
        <w:pStyle w:val="Nadpis2"/>
        <w:spacing w:after="120"/>
        <w:contextualSpacing w:val="0"/>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C53DEF">
      <w:pPr>
        <w:pStyle w:val="Nadpis2"/>
        <w:spacing w:after="120"/>
        <w:contextualSpacing w:val="0"/>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C53DEF">
      <w:pPr>
        <w:pStyle w:val="Nadpis2"/>
        <w:spacing w:after="120"/>
        <w:contextualSpacing w:val="0"/>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C53DEF">
      <w:pPr>
        <w:pStyle w:val="Nadpis2"/>
        <w:spacing w:after="120"/>
        <w:contextualSpacing w:val="0"/>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C53DEF">
      <w:pPr>
        <w:pStyle w:val="Nadpis2"/>
        <w:spacing w:after="120"/>
        <w:contextualSpacing w:val="0"/>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Pr="006C7697" w:rsidRDefault="006C7697" w:rsidP="00C53DEF">
      <w:pPr>
        <w:pStyle w:val="Nadpis2"/>
        <w:spacing w:after="120"/>
        <w:contextualSpacing w:val="0"/>
        <w:rPr>
          <w:rFonts w:eastAsia="Calibri"/>
        </w:rPr>
      </w:pPr>
      <w:r w:rsidRPr="006C7697">
        <w:rPr>
          <w:rFonts w:eastAsia="Calibri"/>
        </w:rPr>
        <w:t xml:space="preserve">V případě poskytnutí osobních údajů v rámci plnění smluvního vztahu se zhotovitel  zavazuje přijmout vhodná technická a organizační opatření podle Nařízení Evropského parlamentu a Rady (EU) 2016/679 ze dne 27. dubna 2016 o ochraně </w:t>
      </w:r>
      <w:r w:rsidRPr="006C7697">
        <w:rPr>
          <w:rFonts w:eastAsia="Calibri"/>
        </w:rPr>
        <w:lastRenderedPageBreak/>
        <w:t>fyzických osob v souvislosti se zpracováním osobních údajů, které se na něj jako na zhotovitele vztahují a plnění těchto povinností na vyžádání doložit objednateli.</w:t>
      </w:r>
    </w:p>
    <w:p w14:paraId="7ACA4F45" w14:textId="77777777" w:rsidR="004E1498" w:rsidRPr="004E1498" w:rsidRDefault="004E1498" w:rsidP="00C53DEF">
      <w:pPr>
        <w:pStyle w:val="Nadpis1"/>
        <w:jc w:val="both"/>
        <w:rPr>
          <w:rFonts w:eastAsia="Times New Roman"/>
          <w:lang w:eastAsia="cs-CZ"/>
        </w:rPr>
      </w:pPr>
      <w:r w:rsidRPr="004E1498">
        <w:rPr>
          <w:rFonts w:eastAsia="Times New Roman"/>
          <w:lang w:eastAsia="cs-CZ"/>
        </w:rPr>
        <w:t>Závěrečná ujednání</w:t>
      </w:r>
    </w:p>
    <w:p w14:paraId="3E50101D" w14:textId="79A89370" w:rsidR="004E1498" w:rsidRPr="004E1498" w:rsidRDefault="004E1498" w:rsidP="00C53DEF">
      <w:pPr>
        <w:pStyle w:val="Nadpis2"/>
        <w:spacing w:after="120"/>
        <w:contextualSpacing w:val="0"/>
      </w:pPr>
      <w:r w:rsidRPr="004E1498">
        <w:t xml:space="preserve">Tato smlouva se řídí Obchodními podmínkami ke Smlouvě o </w:t>
      </w:r>
      <w:r w:rsidRPr="002A2FA2">
        <w:t>dílo (dále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C53DEF">
      <w:pPr>
        <w:pStyle w:val="Nadpis2"/>
        <w:spacing w:after="120"/>
        <w:contextualSpacing w:val="0"/>
      </w:pPr>
      <w:r w:rsidRPr="004E1498">
        <w:t>Zhotovitel prohlašuje, že</w:t>
      </w:r>
      <w:r w:rsidR="00C74BF6">
        <w:t>:</w:t>
      </w:r>
      <w:r w:rsidRPr="004E1498">
        <w:t xml:space="preserve"> </w:t>
      </w:r>
    </w:p>
    <w:p w14:paraId="7633B164" w14:textId="77777777" w:rsidR="004E1498" w:rsidRPr="004E1498" w:rsidRDefault="004E1498" w:rsidP="00C53DEF">
      <w:pPr>
        <w:pStyle w:val="Nadpis3"/>
        <w:tabs>
          <w:tab w:val="left" w:pos="851"/>
        </w:tabs>
        <w:spacing w:after="120"/>
        <w:ind w:hanging="436"/>
        <w:contextualSpacing w:val="0"/>
      </w:pPr>
      <w:r w:rsidRPr="004E1498">
        <w:t>se zněním Obchodních podmínek se před podpisem této smlouvy seznámil,</w:t>
      </w:r>
    </w:p>
    <w:p w14:paraId="382930A8" w14:textId="77777777" w:rsidR="004E1498" w:rsidRPr="004E1498" w:rsidRDefault="004E1498" w:rsidP="00C53DEF">
      <w:pPr>
        <w:pStyle w:val="Nadpis3"/>
        <w:spacing w:after="120"/>
        <w:ind w:left="851" w:hanging="567"/>
        <w:contextualSpacing w:val="0"/>
      </w:pPr>
      <w:r w:rsidRPr="004E1498">
        <w:t>v dostatečném rozsahu se seznámil s veškerými požadavky Objednatele dle této smlouvy, přičemž si není vědom žádným překážek, které by mu bránily v poskytnutí sjednaného plnění v souladu s touto smlouvou.</w:t>
      </w:r>
    </w:p>
    <w:p w14:paraId="5E06AC0E" w14:textId="77777777" w:rsidR="00C74BF6" w:rsidRPr="00C74BF6" w:rsidRDefault="00C74BF6" w:rsidP="000F0765">
      <w:pPr>
        <w:pStyle w:val="Odstavecseseznamem"/>
        <w:numPr>
          <w:ilvl w:val="0"/>
          <w:numId w:val="20"/>
        </w:numPr>
        <w:spacing w:after="120" w:line="240" w:lineRule="auto"/>
        <w:contextualSpacing w:val="0"/>
        <w:jc w:val="both"/>
        <w:rPr>
          <w:rFonts w:eastAsia="Times New Roman" w:cs="Times New Roman"/>
          <w:vanish/>
          <w:lang w:eastAsia="cs-CZ"/>
        </w:rPr>
      </w:pPr>
    </w:p>
    <w:p w14:paraId="3EC5A91C" w14:textId="77777777" w:rsidR="00C74BF6" w:rsidRPr="00C74BF6" w:rsidRDefault="00C74BF6" w:rsidP="000F0765">
      <w:pPr>
        <w:pStyle w:val="Odstavecseseznamem"/>
        <w:numPr>
          <w:ilvl w:val="0"/>
          <w:numId w:val="20"/>
        </w:numPr>
        <w:spacing w:after="120" w:line="240" w:lineRule="auto"/>
        <w:contextualSpacing w:val="0"/>
        <w:jc w:val="both"/>
        <w:rPr>
          <w:rFonts w:eastAsia="Times New Roman" w:cs="Times New Roman"/>
          <w:vanish/>
          <w:lang w:eastAsia="cs-CZ"/>
        </w:rPr>
      </w:pPr>
    </w:p>
    <w:p w14:paraId="6AB23CD3" w14:textId="03987074" w:rsidR="004E1498" w:rsidRPr="004E1498" w:rsidRDefault="000F0765" w:rsidP="00F00358">
      <w:pPr>
        <w:pStyle w:val="Nadpis2"/>
        <w:numPr>
          <w:ilvl w:val="1"/>
          <w:numId w:val="20"/>
        </w:numPr>
        <w:spacing w:after="120"/>
        <w:ind w:left="567" w:hanging="567"/>
        <w:contextualSpacing w:val="0"/>
      </w:pPr>
      <w:r w:rsidRPr="000F0765">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 </w:t>
      </w:r>
      <w:r w:rsidR="004E1498" w:rsidRPr="004E1498">
        <w:t>Veškerá práva a povinnosti Smluvních stran vyplývající ze Smlouvy o dílo a Obchodních podmínek se řídí českým právním řádem.</w:t>
      </w:r>
    </w:p>
    <w:p w14:paraId="52D451D4" w14:textId="77777777" w:rsidR="004E1498" w:rsidRPr="004E1498" w:rsidRDefault="004E1498" w:rsidP="000F0765">
      <w:pPr>
        <w:pStyle w:val="Nadpis2"/>
        <w:numPr>
          <w:ilvl w:val="1"/>
          <w:numId w:val="20"/>
        </w:numPr>
        <w:spacing w:after="120"/>
        <w:ind w:left="567" w:hanging="567"/>
        <w:contextualSpacing w:val="0"/>
      </w:pPr>
      <w:r w:rsidRPr="004E1498">
        <w:t>Smluvní vztahy neupravené Smlouvou o dílo a Obchodními podmínkami se řídí Občanským zákoníkem a dalšími právními předpisy.</w:t>
      </w:r>
    </w:p>
    <w:p w14:paraId="3654106D" w14:textId="77777777" w:rsidR="004E1498" w:rsidRPr="004E1498" w:rsidRDefault="004E1498" w:rsidP="000F0765">
      <w:pPr>
        <w:pStyle w:val="Nadpis2"/>
        <w:numPr>
          <w:ilvl w:val="1"/>
          <w:numId w:val="20"/>
        </w:numPr>
        <w:spacing w:after="120"/>
        <w:ind w:left="567" w:hanging="567"/>
        <w:contextualSpacing w:val="0"/>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0F0765">
      <w:pPr>
        <w:pStyle w:val="Nadpis2"/>
        <w:numPr>
          <w:ilvl w:val="1"/>
          <w:numId w:val="20"/>
        </w:numPr>
        <w:spacing w:after="120"/>
        <w:ind w:left="567" w:hanging="567"/>
        <w:contextualSpacing w:val="0"/>
      </w:pPr>
      <w:r w:rsidRPr="004E1498">
        <w:t>Smlouvu o dílo lze měnit pouze písemnými dodatky.</w:t>
      </w:r>
    </w:p>
    <w:p w14:paraId="70BEC627" w14:textId="77777777" w:rsidR="004E1498" w:rsidRPr="004E1498" w:rsidRDefault="004E1498" w:rsidP="000F0765">
      <w:pPr>
        <w:pStyle w:val="Nadpis2"/>
        <w:numPr>
          <w:ilvl w:val="1"/>
          <w:numId w:val="20"/>
        </w:numPr>
        <w:spacing w:after="120"/>
        <w:ind w:left="567" w:hanging="567"/>
        <w:contextualSpacing w:val="0"/>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0F0765">
      <w:pPr>
        <w:pStyle w:val="Nadpis2"/>
        <w:numPr>
          <w:ilvl w:val="1"/>
          <w:numId w:val="20"/>
        </w:numPr>
        <w:spacing w:after="120"/>
        <w:ind w:left="567" w:hanging="567"/>
        <w:contextualSpacing w:val="0"/>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0F0765">
      <w:pPr>
        <w:pStyle w:val="Nadpis2"/>
        <w:numPr>
          <w:ilvl w:val="1"/>
          <w:numId w:val="20"/>
        </w:numPr>
        <w:spacing w:after="120"/>
        <w:ind w:left="567" w:hanging="567"/>
        <w:contextualSpacing w:val="0"/>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0F0765">
      <w:pPr>
        <w:pStyle w:val="Nadpis2"/>
        <w:numPr>
          <w:ilvl w:val="1"/>
          <w:numId w:val="20"/>
        </w:numPr>
        <w:spacing w:after="120"/>
        <w:ind w:left="567" w:hanging="567"/>
        <w:contextualSpacing w:val="0"/>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2D54885"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7AF2DF5F"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0E466F26"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74B9B5AC"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2C230623"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354CECB8"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27EA9AF4" w14:textId="77777777" w:rsidR="00C53DEF" w:rsidRDefault="00C53DEF"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19A12285" w14:textId="15959E67" w:rsidR="004E1498" w:rsidRPr="004E1498" w:rsidRDefault="004E1498" w:rsidP="000F0765">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lastRenderedPageBreak/>
        <w:t>Přílohy</w:t>
      </w:r>
    </w:p>
    <w:p w14:paraId="132EAB42" w14:textId="45D2ADD8" w:rsidR="006E6E61" w:rsidRPr="007431E5" w:rsidRDefault="000F0765" w:rsidP="000F0765">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Požadavky zadavatele</w:t>
      </w:r>
    </w:p>
    <w:p w14:paraId="006CBB1A" w14:textId="0C42C7DB" w:rsidR="006E6E61" w:rsidRPr="000F0765" w:rsidRDefault="00691402" w:rsidP="000F0765">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highlight w:val="yellow"/>
          <w:lang w:eastAsia="cs-CZ"/>
        </w:rPr>
      </w:pPr>
      <w:r w:rsidRPr="000F0765">
        <w:rPr>
          <w:rFonts w:eastAsia="Times New Roman" w:cs="Times New Roman"/>
          <w:highlight w:val="yellow"/>
          <w:lang w:eastAsia="cs-CZ"/>
        </w:rPr>
        <w:t>Seznam poddodavatelů – případně doplní dodavatel</w:t>
      </w:r>
    </w:p>
    <w:p w14:paraId="665289CB" w14:textId="246C46E6" w:rsidR="006E6E61" w:rsidRPr="007431E5" w:rsidRDefault="00691402" w:rsidP="000F0765">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Obchodní podmínky ke Smlouvě o dílo</w:t>
      </w:r>
    </w:p>
    <w:p w14:paraId="314AFFCD" w14:textId="68E8A611" w:rsidR="00D657AD" w:rsidRPr="006A53AC" w:rsidRDefault="00D657AD" w:rsidP="000F0765">
      <w:pPr>
        <w:pStyle w:val="Odstavecseseznamem"/>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4B15E5D7" w14:textId="77777777" w:rsidR="006C7697" w:rsidRDefault="006C7697" w:rsidP="000F0765">
      <w:pPr>
        <w:overflowPunct w:val="0"/>
        <w:autoSpaceDE w:val="0"/>
        <w:autoSpaceDN w:val="0"/>
        <w:adjustRightInd w:val="0"/>
        <w:spacing w:after="0" w:line="240" w:lineRule="auto"/>
        <w:jc w:val="both"/>
        <w:textAlignment w:val="baseline"/>
        <w:rPr>
          <w:rFonts w:eastAsia="Times New Roman" w:cs="Times New Roman"/>
          <w:lang w:eastAsia="cs-CZ"/>
        </w:rPr>
      </w:pPr>
    </w:p>
    <w:p w14:paraId="5533330C"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V Olomouci dne ____________</w:t>
      </w:r>
      <w:r>
        <w:rPr>
          <w:rFonts w:eastAsia="Times New Roman" w:cs="Times New Roman"/>
          <w:lang w:eastAsia="cs-CZ"/>
        </w:rPr>
        <w:tab/>
      </w:r>
      <w:r>
        <w:rPr>
          <w:rFonts w:eastAsia="Times New Roman" w:cs="Times New Roman"/>
          <w:lang w:eastAsia="cs-CZ"/>
        </w:rPr>
        <w:tab/>
        <w:t>V________________dne ____________</w:t>
      </w:r>
    </w:p>
    <w:p w14:paraId="283A44A7"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5E6886B8"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3E640399" w14:textId="77777777" w:rsidR="000F0765" w:rsidRDefault="000F0765"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1DEACD0A" w14:textId="77777777" w:rsidR="000F0765" w:rsidRDefault="000F0765"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6B0528B1"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3FF70510"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028A0CE9"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p>
    <w:p w14:paraId="051DEECF" w14:textId="77777777" w:rsidR="00653F5F" w:rsidRDefault="00653F5F" w:rsidP="000F0765">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_______________________________</w:t>
      </w:r>
      <w:r>
        <w:rPr>
          <w:rFonts w:eastAsia="Times New Roman" w:cs="Times New Roman"/>
          <w:b/>
          <w:lang w:eastAsia="cs-CZ"/>
        </w:rPr>
        <w:tab/>
        <w:t xml:space="preserve">           _____________________________</w:t>
      </w:r>
    </w:p>
    <w:p w14:paraId="685F3C76" w14:textId="288B2368" w:rsidR="00653F5F" w:rsidRDefault="00653F5F" w:rsidP="000F0765">
      <w:pPr>
        <w:overflowPunct w:val="0"/>
        <w:autoSpaceDE w:val="0"/>
        <w:autoSpaceDN w:val="0"/>
        <w:adjustRightInd w:val="0"/>
        <w:spacing w:after="0" w:line="240" w:lineRule="auto"/>
        <w:jc w:val="both"/>
        <w:textAlignment w:val="baseline"/>
        <w:rPr>
          <w:rFonts w:eastAsia="Times New Roman" w:cs="Times New Roman"/>
          <w:b/>
          <w:lang w:eastAsia="cs-CZ"/>
        </w:rPr>
      </w:pPr>
      <w:r>
        <w:rPr>
          <w:rFonts w:eastAsia="Times New Roman" w:cs="Times New Roman"/>
          <w:b/>
          <w:lang w:eastAsia="cs-CZ"/>
        </w:rPr>
        <w:t xml:space="preserve">          </w:t>
      </w:r>
      <w:r w:rsidR="00133B41">
        <w:rPr>
          <w:rFonts w:eastAsia="Times New Roman" w:cs="Times New Roman"/>
          <w:b/>
          <w:lang w:eastAsia="cs-CZ"/>
        </w:rPr>
        <w:t xml:space="preserve">  </w:t>
      </w:r>
      <w:r>
        <w:rPr>
          <w:rFonts w:eastAsia="Times New Roman" w:cs="Times New Roman"/>
          <w:b/>
          <w:lang w:eastAsia="cs-CZ"/>
        </w:rPr>
        <w:t xml:space="preserve">  Za Objednatele</w:t>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r>
      <w:r>
        <w:rPr>
          <w:rFonts w:eastAsia="Times New Roman" w:cs="Times New Roman"/>
          <w:b/>
          <w:lang w:eastAsia="cs-CZ"/>
        </w:rPr>
        <w:tab/>
        <w:t>Za Zhotovitele</w:t>
      </w:r>
    </w:p>
    <w:p w14:paraId="289F73B8" w14:textId="77777777" w:rsidR="00653F5F" w:rsidRDefault="00653F5F" w:rsidP="000F0765">
      <w:pPr>
        <w:overflowPunct w:val="0"/>
        <w:autoSpaceDE w:val="0"/>
        <w:autoSpaceDN w:val="0"/>
        <w:adjustRightInd w:val="0"/>
        <w:spacing w:after="0" w:line="240" w:lineRule="auto"/>
        <w:jc w:val="both"/>
        <w:textAlignment w:val="baseline"/>
        <w:rPr>
          <w:rFonts w:eastAsia="Calibri" w:cs="Times New Roman"/>
        </w:rPr>
      </w:pPr>
    </w:p>
    <w:p w14:paraId="082723E0" w14:textId="77777777" w:rsidR="00653F5F" w:rsidRDefault="00653F5F" w:rsidP="000F0765">
      <w:pPr>
        <w:overflowPunct w:val="0"/>
        <w:autoSpaceDE w:val="0"/>
        <w:autoSpaceDN w:val="0"/>
        <w:adjustRightInd w:val="0"/>
        <w:spacing w:after="0" w:line="240" w:lineRule="auto"/>
        <w:ind w:firstLine="708"/>
        <w:jc w:val="both"/>
        <w:textAlignment w:val="baseline"/>
        <w:rPr>
          <w:rFonts w:eastAsia="Calibri" w:cs="Times New Roman"/>
        </w:rPr>
      </w:pPr>
      <w:r>
        <w:rPr>
          <w:rFonts w:eastAsia="Calibri" w:cs="Times New Roman"/>
        </w:rPr>
        <w:t>Ing. Ladislav Kašpar</w:t>
      </w:r>
    </w:p>
    <w:p w14:paraId="60980D88" w14:textId="77777777" w:rsidR="00653F5F" w:rsidRDefault="00653F5F" w:rsidP="000F0765">
      <w:pPr>
        <w:overflowPunct w:val="0"/>
        <w:autoSpaceDE w:val="0"/>
        <w:autoSpaceDN w:val="0"/>
        <w:adjustRightInd w:val="0"/>
        <w:spacing w:after="0" w:line="240" w:lineRule="auto"/>
        <w:jc w:val="both"/>
        <w:textAlignment w:val="baseline"/>
        <w:rPr>
          <w:rFonts w:eastAsia="Calibri" w:cs="Times New Roman"/>
        </w:rPr>
      </w:pPr>
      <w:r>
        <w:rPr>
          <w:rFonts w:eastAsia="Calibri" w:cs="Times New Roman"/>
        </w:rPr>
        <w:t xml:space="preserve"> </w:t>
      </w:r>
      <w:r>
        <w:rPr>
          <w:rFonts w:eastAsia="Calibri" w:cs="Times New Roman"/>
        </w:rPr>
        <w:tab/>
      </w:r>
      <w:r>
        <w:rPr>
          <w:rFonts w:eastAsia="Calibri" w:cs="Times New Roman"/>
        </w:rPr>
        <w:tab/>
        <w:t>Ředitel</w:t>
      </w:r>
    </w:p>
    <w:p w14:paraId="444C0D59" w14:textId="77777777" w:rsidR="00653F5F" w:rsidRDefault="00653F5F" w:rsidP="000F0765">
      <w:pPr>
        <w:overflowPunct w:val="0"/>
        <w:autoSpaceDE w:val="0"/>
        <w:autoSpaceDN w:val="0"/>
        <w:adjustRightInd w:val="0"/>
        <w:spacing w:after="0" w:line="240" w:lineRule="auto"/>
        <w:jc w:val="both"/>
        <w:textAlignment w:val="baseline"/>
        <w:rPr>
          <w:rFonts w:eastAsia="Calibri" w:cs="Times New Roman"/>
        </w:rPr>
      </w:pPr>
      <w:r>
        <w:rPr>
          <w:rFonts w:eastAsia="Calibri" w:cs="Times New Roman"/>
        </w:rPr>
        <w:t xml:space="preserve">      Oblastního ředitelství Olomouc</w:t>
      </w:r>
    </w:p>
    <w:p w14:paraId="34A8DB3C" w14:textId="77777777" w:rsidR="00653F5F" w:rsidRDefault="00653F5F" w:rsidP="00653F5F">
      <w:pPr>
        <w:overflowPunct w:val="0"/>
        <w:autoSpaceDE w:val="0"/>
        <w:autoSpaceDN w:val="0"/>
        <w:adjustRightInd w:val="0"/>
        <w:spacing w:after="0" w:line="240" w:lineRule="auto"/>
        <w:textAlignment w:val="baseline"/>
        <w:rPr>
          <w:rFonts w:eastAsia="Calibri" w:cs="Times New Roman"/>
        </w:rPr>
      </w:pPr>
    </w:p>
    <w:p w14:paraId="4CEF66B6" w14:textId="77777777" w:rsidR="00653F5F" w:rsidRDefault="00653F5F" w:rsidP="00653F5F">
      <w:pPr>
        <w:overflowPunct w:val="0"/>
        <w:autoSpaceDE w:val="0"/>
        <w:autoSpaceDN w:val="0"/>
        <w:adjustRightInd w:val="0"/>
        <w:spacing w:after="0" w:line="240" w:lineRule="auto"/>
        <w:textAlignment w:val="baseline"/>
        <w:rPr>
          <w:rFonts w:eastAsia="Calibri" w:cs="Times New Roman"/>
        </w:rPr>
      </w:pPr>
    </w:p>
    <w:p w14:paraId="17442CC3" w14:textId="77777777" w:rsidR="00653F5F" w:rsidRDefault="00653F5F" w:rsidP="00653F5F">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53F5F">
      <w:pPr>
        <w:overflowPunct w:val="0"/>
        <w:autoSpaceDE w:val="0"/>
        <w:autoSpaceDN w:val="0"/>
        <w:adjustRightInd w:val="0"/>
        <w:spacing w:after="0" w:line="240" w:lineRule="auto"/>
        <w:textAlignment w:val="baseline"/>
        <w:rPr>
          <w:rFonts w:eastAsia="Calibri" w:cs="Times New Roman"/>
        </w:rPr>
      </w:pPr>
    </w:p>
    <w:sectPr w:rsidR="00DC20C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969B9" w14:textId="77777777" w:rsidR="00216071" w:rsidRDefault="00216071" w:rsidP="00962258">
      <w:pPr>
        <w:spacing w:after="0" w:line="240" w:lineRule="auto"/>
      </w:pPr>
      <w:r>
        <w:separator/>
      </w:r>
    </w:p>
  </w:endnote>
  <w:endnote w:type="continuationSeparator" w:id="0">
    <w:p w14:paraId="7ECE6DC0" w14:textId="77777777" w:rsidR="00216071" w:rsidRDefault="002160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3D079DF"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3DE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3DEF">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EE90DC"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1F2D8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3986" w14:paraId="4BEB1E0C" w14:textId="77777777" w:rsidTr="003E28F8">
      <w:tc>
        <w:tcPr>
          <w:tcW w:w="1361" w:type="dxa"/>
          <w:tcMar>
            <w:left w:w="0" w:type="dxa"/>
            <w:right w:w="0" w:type="dxa"/>
          </w:tcMar>
          <w:vAlign w:val="bottom"/>
        </w:tcPr>
        <w:p w14:paraId="2DEC3CEC" w14:textId="23B53DE4" w:rsidR="00713986" w:rsidRPr="00B8518B" w:rsidRDefault="00713986" w:rsidP="003E28F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3DE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3DEF">
            <w:rPr>
              <w:rStyle w:val="slostrnky"/>
              <w:noProof/>
            </w:rPr>
            <w:t>5</w:t>
          </w:r>
          <w:r w:rsidRPr="00B8518B">
            <w:rPr>
              <w:rStyle w:val="slostrnky"/>
            </w:rPr>
            <w:fldChar w:fldCharType="end"/>
          </w:r>
        </w:p>
      </w:tc>
      <w:tc>
        <w:tcPr>
          <w:tcW w:w="3458" w:type="dxa"/>
          <w:shd w:val="clear" w:color="auto" w:fill="auto"/>
          <w:tcMar>
            <w:left w:w="0" w:type="dxa"/>
            <w:right w:w="0" w:type="dxa"/>
          </w:tcMar>
        </w:tcPr>
        <w:p w14:paraId="5AE9E514" w14:textId="77777777" w:rsidR="00713986" w:rsidRDefault="00713986" w:rsidP="003E28F8">
          <w:pPr>
            <w:pStyle w:val="Zpat"/>
          </w:pPr>
          <w:r>
            <w:t>Správa železnic, státní organizace</w:t>
          </w:r>
        </w:p>
        <w:p w14:paraId="5A0604B5" w14:textId="77777777" w:rsidR="00713986" w:rsidRDefault="00713986" w:rsidP="003E28F8">
          <w:pPr>
            <w:pStyle w:val="Zpat"/>
          </w:pPr>
          <w:r>
            <w:t>zapsána v obchodním rejstříku vedeném Městským soudem v Praze, spisová značka A 48384</w:t>
          </w:r>
        </w:p>
      </w:tc>
      <w:tc>
        <w:tcPr>
          <w:tcW w:w="2835" w:type="dxa"/>
          <w:shd w:val="clear" w:color="auto" w:fill="auto"/>
          <w:tcMar>
            <w:left w:w="0" w:type="dxa"/>
            <w:right w:w="0" w:type="dxa"/>
          </w:tcMar>
        </w:tcPr>
        <w:p w14:paraId="33EF88CB" w14:textId="77777777" w:rsidR="00713986" w:rsidRDefault="00713986" w:rsidP="003E28F8">
          <w:pPr>
            <w:pStyle w:val="Zpat"/>
          </w:pPr>
          <w:r>
            <w:t>Sídlo: Dlážděná 1003/7, 110 00 Praha 1</w:t>
          </w:r>
        </w:p>
        <w:p w14:paraId="075FA2F3" w14:textId="77777777" w:rsidR="00713986" w:rsidRDefault="00713986" w:rsidP="003E28F8">
          <w:pPr>
            <w:pStyle w:val="Zpat"/>
          </w:pPr>
          <w:r>
            <w:t>IČO: 709 94 234 DIČ: CZ 709 94 234</w:t>
          </w:r>
        </w:p>
        <w:p w14:paraId="7AFAF786" w14:textId="7ACF54C1" w:rsidR="00713986" w:rsidRDefault="00EB0DB7" w:rsidP="00133B41">
          <w:pPr>
            <w:pStyle w:val="Zpat"/>
          </w:pPr>
          <w:r>
            <w:t>www.</w:t>
          </w:r>
          <w:r w:rsidR="00133B41">
            <w:t>spravazeleznic</w:t>
          </w:r>
          <w:r w:rsidR="00713986">
            <w:t>.cz</w:t>
          </w:r>
        </w:p>
      </w:tc>
      <w:tc>
        <w:tcPr>
          <w:tcW w:w="2921" w:type="dxa"/>
        </w:tcPr>
        <w:p w14:paraId="08F6D92D" w14:textId="77777777" w:rsidR="00713986" w:rsidRDefault="00713986" w:rsidP="003E28F8">
          <w:pPr>
            <w:pStyle w:val="Zpat"/>
            <w:rPr>
              <w:b/>
            </w:rPr>
          </w:pPr>
          <w:r>
            <w:rPr>
              <w:b/>
            </w:rPr>
            <w:t>Oblastní ředitelství Olomouc</w:t>
          </w:r>
        </w:p>
        <w:p w14:paraId="00F652D1" w14:textId="77777777" w:rsidR="00713986" w:rsidRDefault="00713986" w:rsidP="003E28F8">
          <w:pPr>
            <w:pStyle w:val="Zpat"/>
            <w:rPr>
              <w:b/>
            </w:rPr>
          </w:pPr>
          <w:r>
            <w:rPr>
              <w:b/>
            </w:rPr>
            <w:t>Nerudova 1</w:t>
          </w:r>
        </w:p>
        <w:p w14:paraId="04D3C9A3" w14:textId="77777777" w:rsidR="00713986" w:rsidRDefault="00713986" w:rsidP="003E28F8">
          <w:pPr>
            <w:pStyle w:val="Zpat"/>
          </w:pPr>
          <w:r>
            <w:rPr>
              <w:b/>
            </w:rPr>
            <w:t>779 00 Olomouc</w:t>
          </w:r>
        </w:p>
      </w:tc>
    </w:tr>
  </w:tbl>
  <w:p w14:paraId="15ECA1AA" w14:textId="77777777" w:rsidR="00713986" w:rsidRPr="00B8518B" w:rsidRDefault="00713986" w:rsidP="00713986">
    <w:pPr>
      <w:pStyle w:val="Zpat"/>
      <w:rPr>
        <w:sz w:val="2"/>
        <w:szCs w:val="2"/>
      </w:rPr>
    </w:pPr>
  </w:p>
  <w:p w14:paraId="3202AF2E" w14:textId="77777777" w:rsidR="00713986" w:rsidRPr="00460660" w:rsidRDefault="00713986" w:rsidP="00713986">
    <w:pPr>
      <w:pStyle w:val="Zpat"/>
      <w:rPr>
        <w:sz w:val="2"/>
        <w:szCs w:val="2"/>
      </w:rPr>
    </w:pPr>
  </w:p>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37A882"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9B4963"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3A1AD" w14:textId="77777777" w:rsidR="00216071" w:rsidRDefault="00216071" w:rsidP="00962258">
      <w:pPr>
        <w:spacing w:after="0" w:line="240" w:lineRule="auto"/>
      </w:pPr>
      <w:r>
        <w:separator/>
      </w:r>
    </w:p>
  </w:footnote>
  <w:footnote w:type="continuationSeparator" w:id="0">
    <w:p w14:paraId="225872B7" w14:textId="77777777" w:rsidR="00216071" w:rsidRDefault="002160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4223" w14:paraId="2ECB6F9F" w14:textId="77777777" w:rsidTr="00F1715C">
      <w:trPr>
        <w:trHeight w:hRule="exact" w:val="936"/>
      </w:trPr>
      <w:tc>
        <w:tcPr>
          <w:tcW w:w="1361" w:type="dxa"/>
          <w:tcMar>
            <w:left w:w="0" w:type="dxa"/>
            <w:right w:w="0" w:type="dxa"/>
          </w:tcMar>
        </w:tcPr>
        <w:p w14:paraId="0DC32999" w14:textId="77777777" w:rsidR="00294223" w:rsidRPr="00B8518B" w:rsidRDefault="00294223" w:rsidP="00FC6389">
          <w:pPr>
            <w:pStyle w:val="Zpat"/>
            <w:rPr>
              <w:rStyle w:val="slostrnky"/>
            </w:rPr>
          </w:pPr>
        </w:p>
      </w:tc>
      <w:tc>
        <w:tcPr>
          <w:tcW w:w="3458" w:type="dxa"/>
          <w:shd w:val="clear" w:color="auto" w:fill="auto"/>
          <w:tcMar>
            <w:left w:w="0" w:type="dxa"/>
            <w:right w:w="0" w:type="dxa"/>
          </w:tcMar>
        </w:tcPr>
        <w:p w14:paraId="131F84B6" w14:textId="24D9E753" w:rsidR="00294223" w:rsidRDefault="00294223" w:rsidP="00FC6389">
          <w:pPr>
            <w:pStyle w:val="Zpat"/>
          </w:pPr>
          <w:r w:rsidRPr="00B55830">
            <w:rPr>
              <w:noProof/>
              <w:lang w:eastAsia="cs-CZ"/>
            </w:rPr>
            <w:drawing>
              <wp:anchor distT="0" distB="0" distL="114300" distR="114300" simplePos="0" relativeHeight="251661824" behindDoc="0" locked="1" layoutInCell="1" allowOverlap="1" wp14:anchorId="568C3165" wp14:editId="5B4FCC27">
                <wp:simplePos x="0" y="0"/>
                <wp:positionH relativeFrom="page">
                  <wp:posOffset>-882650</wp:posOffset>
                </wp:positionH>
                <wp:positionV relativeFrom="page">
                  <wp:posOffset>-3175</wp:posOffset>
                </wp:positionV>
                <wp:extent cx="1728000" cy="640800"/>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3B330173" w14:textId="77777777" w:rsidR="00294223" w:rsidRPr="00D6163D" w:rsidRDefault="00294223" w:rsidP="00FC6389">
          <w:pPr>
            <w:pStyle w:val="Druhdokumentu"/>
          </w:pPr>
        </w:p>
      </w:tc>
    </w:tr>
    <w:tr w:rsidR="00294223" w14:paraId="1928CCEF" w14:textId="77777777" w:rsidTr="00D85C5B">
      <w:trPr>
        <w:trHeight w:hRule="exact" w:val="318"/>
      </w:trPr>
      <w:tc>
        <w:tcPr>
          <w:tcW w:w="1361" w:type="dxa"/>
          <w:tcMar>
            <w:left w:w="0" w:type="dxa"/>
            <w:right w:w="0" w:type="dxa"/>
          </w:tcMar>
        </w:tcPr>
        <w:p w14:paraId="4D85EE3E" w14:textId="77777777" w:rsidR="00294223" w:rsidRPr="00B8518B" w:rsidRDefault="00294223" w:rsidP="00FC6389">
          <w:pPr>
            <w:pStyle w:val="Zpat"/>
            <w:rPr>
              <w:rStyle w:val="slostrnky"/>
            </w:rPr>
          </w:pPr>
        </w:p>
      </w:tc>
      <w:tc>
        <w:tcPr>
          <w:tcW w:w="3458" w:type="dxa"/>
          <w:shd w:val="clear" w:color="auto" w:fill="auto"/>
          <w:tcMar>
            <w:left w:w="0" w:type="dxa"/>
            <w:right w:w="0" w:type="dxa"/>
          </w:tcMar>
        </w:tcPr>
        <w:p w14:paraId="2611A54E" w14:textId="1F57D38E" w:rsidR="00294223" w:rsidRDefault="00294223" w:rsidP="00FC6389">
          <w:pPr>
            <w:pStyle w:val="Zpat"/>
          </w:pPr>
          <w:r w:rsidRPr="00B55830">
            <w:rPr>
              <w:noProof/>
              <w:lang w:eastAsia="cs-CZ"/>
            </w:rPr>
            <w:drawing>
              <wp:anchor distT="0" distB="0" distL="114300" distR="114300" simplePos="0" relativeHeight="251662848" behindDoc="0" locked="1" layoutInCell="1" allowOverlap="1" wp14:anchorId="075BAAD5" wp14:editId="62B5625A">
                <wp:simplePos x="0" y="0"/>
                <wp:positionH relativeFrom="page">
                  <wp:posOffset>-882650</wp:posOffset>
                </wp:positionH>
                <wp:positionV relativeFrom="page">
                  <wp:posOffset>-633730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0DFF6094" w14:textId="77777777" w:rsidR="00294223" w:rsidRPr="00D6163D" w:rsidRDefault="00294223" w:rsidP="00FC6389">
          <w:pPr>
            <w:pStyle w:val="Druhdokumentu"/>
          </w:pPr>
        </w:p>
      </w:tc>
    </w:tr>
  </w:tbl>
  <w:p w14:paraId="4D4AA505" w14:textId="361BFC60"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07FA6"/>
    <w:multiLevelType w:val="hybridMultilevel"/>
    <w:tmpl w:val="2598C17E"/>
    <w:lvl w:ilvl="0" w:tplc="AD449C82">
      <w:start w:val="1"/>
      <w:numFmt w:val="decimal"/>
      <w:lvlText w:val="%1."/>
      <w:lvlJc w:val="left"/>
      <w:pPr>
        <w:ind w:left="1224" w:hanging="360"/>
      </w:pPr>
      <w:rPr>
        <w:rFonts w:hint="default"/>
        <w:b/>
      </w:rPr>
    </w:lvl>
    <w:lvl w:ilvl="1" w:tplc="04050019">
      <w:start w:val="1"/>
      <w:numFmt w:val="lowerLetter"/>
      <w:lvlText w:val="%2."/>
      <w:lvlJc w:val="left"/>
      <w:pPr>
        <w:ind w:left="1944" w:hanging="360"/>
      </w:pPr>
    </w:lvl>
    <w:lvl w:ilvl="2" w:tplc="0405001B">
      <w:start w:val="1"/>
      <w:numFmt w:val="lowerRoman"/>
      <w:lvlText w:val="%3."/>
      <w:lvlJc w:val="right"/>
      <w:pPr>
        <w:ind w:left="2664" w:hanging="180"/>
      </w:pPr>
    </w:lvl>
    <w:lvl w:ilvl="3" w:tplc="0405000F">
      <w:start w:val="1"/>
      <w:numFmt w:val="decimal"/>
      <w:lvlText w:val="%4."/>
      <w:lvlJc w:val="left"/>
      <w:pPr>
        <w:ind w:left="3384" w:hanging="360"/>
      </w:pPr>
    </w:lvl>
    <w:lvl w:ilvl="4" w:tplc="04050019" w:tentative="1">
      <w:start w:val="1"/>
      <w:numFmt w:val="lowerLetter"/>
      <w:lvlText w:val="%5."/>
      <w:lvlJc w:val="left"/>
      <w:pPr>
        <w:ind w:left="4104" w:hanging="360"/>
      </w:pPr>
    </w:lvl>
    <w:lvl w:ilvl="5" w:tplc="0405001B" w:tentative="1">
      <w:start w:val="1"/>
      <w:numFmt w:val="lowerRoman"/>
      <w:lvlText w:val="%6."/>
      <w:lvlJc w:val="right"/>
      <w:pPr>
        <w:ind w:left="4824" w:hanging="180"/>
      </w:pPr>
    </w:lvl>
    <w:lvl w:ilvl="6" w:tplc="0405000F" w:tentative="1">
      <w:start w:val="1"/>
      <w:numFmt w:val="decimal"/>
      <w:lvlText w:val="%7."/>
      <w:lvlJc w:val="left"/>
      <w:pPr>
        <w:ind w:left="5544" w:hanging="360"/>
      </w:pPr>
    </w:lvl>
    <w:lvl w:ilvl="7" w:tplc="04050019" w:tentative="1">
      <w:start w:val="1"/>
      <w:numFmt w:val="lowerLetter"/>
      <w:lvlText w:val="%8."/>
      <w:lvlJc w:val="left"/>
      <w:pPr>
        <w:ind w:left="6264" w:hanging="360"/>
      </w:pPr>
    </w:lvl>
    <w:lvl w:ilvl="8" w:tplc="0405001B" w:tentative="1">
      <w:start w:val="1"/>
      <w:numFmt w:val="lowerRoman"/>
      <w:lvlText w:val="%9."/>
      <w:lvlJc w:val="right"/>
      <w:pPr>
        <w:ind w:left="6984" w:hanging="180"/>
      </w:pPr>
    </w:lvl>
  </w:abstractNum>
  <w:abstractNum w:abstractNumId="1" w15:restartNumberingAfterBreak="0">
    <w:nsid w:val="03883A91"/>
    <w:multiLevelType w:val="multilevel"/>
    <w:tmpl w:val="2B9A02A6"/>
    <w:lvl w:ilvl="0">
      <w:start w:val="1"/>
      <w:numFmt w:val="decimal"/>
      <w:lvlText w:val="%1."/>
      <w:lvlJc w:val="left"/>
      <w:pPr>
        <w:ind w:left="786"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B3164D"/>
    <w:multiLevelType w:val="hybridMultilevel"/>
    <w:tmpl w:val="5A1C609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67E07F7E"/>
    <w:lvl w:ilvl="0">
      <w:start w:val="1"/>
      <w:numFmt w:val="decimal"/>
      <w:pStyle w:val="Nadpis1"/>
      <w:lvlText w:val="%1"/>
      <w:lvlJc w:val="left"/>
      <w:pPr>
        <w:ind w:left="432" w:hanging="432"/>
      </w:pPr>
      <w:rPr>
        <w:rFonts w:hint="default"/>
        <w:b/>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2D67BC3"/>
    <w:multiLevelType w:val="hybridMultilevel"/>
    <w:tmpl w:val="7FF6A88E"/>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F81D0D"/>
    <w:multiLevelType w:val="hybridMultilevel"/>
    <w:tmpl w:val="4E9624B8"/>
    <w:lvl w:ilvl="0" w:tplc="2EBEAEC0">
      <w:start w:val="1"/>
      <w:numFmt w:val="decimal"/>
      <w:lvlText w:val="%1."/>
      <w:lvlJc w:val="left"/>
      <w:pPr>
        <w:ind w:left="1069" w:hanging="36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7"/>
  </w:num>
  <w:num w:numId="4">
    <w:abstractNumId w:val="22"/>
  </w:num>
  <w:num w:numId="5">
    <w:abstractNumId w:val="10"/>
  </w:num>
  <w:num w:numId="6">
    <w:abstractNumId w:val="1"/>
  </w:num>
  <w:num w:numId="7">
    <w:abstractNumId w:val="13"/>
  </w:num>
  <w:num w:numId="8">
    <w:abstractNumId w:val="23"/>
  </w:num>
  <w:num w:numId="9">
    <w:abstractNumId w:val="14"/>
  </w:num>
  <w:num w:numId="10">
    <w:abstractNumId w:val="8"/>
  </w:num>
  <w:num w:numId="11">
    <w:abstractNumId w:val="3"/>
  </w:num>
  <w:num w:numId="12">
    <w:abstractNumId w:val="18"/>
  </w:num>
  <w:num w:numId="13">
    <w:abstractNumId w:val="21"/>
  </w:num>
  <w:num w:numId="14">
    <w:abstractNumId w:val="5"/>
  </w:num>
  <w:num w:numId="15">
    <w:abstractNumId w:val="24"/>
  </w:num>
  <w:num w:numId="16">
    <w:abstractNumId w:val="15"/>
  </w:num>
  <w:num w:numId="17">
    <w:abstractNumId w:val="9"/>
  </w:num>
  <w:num w:numId="18">
    <w:abstractNumId w:val="11"/>
  </w:num>
  <w:num w:numId="19">
    <w:abstractNumId w:val="17"/>
  </w:num>
  <w:num w:numId="20">
    <w:abstractNumId w:val="16"/>
  </w:num>
  <w:num w:numId="21">
    <w:abstractNumId w:val="9"/>
  </w:num>
  <w:num w:numId="22">
    <w:abstractNumId w:val="20"/>
  </w:num>
  <w:num w:numId="23">
    <w:abstractNumId w:val="9"/>
  </w:num>
  <w:num w:numId="24">
    <w:abstractNumId w:val="9"/>
  </w:num>
  <w:num w:numId="25">
    <w:abstractNumId w:val="9"/>
  </w:num>
  <w:num w:numId="26">
    <w:abstractNumId w:val="9"/>
  </w:num>
  <w:num w:numId="27">
    <w:abstractNumId w:val="9"/>
  </w:num>
  <w:num w:numId="28">
    <w:abstractNumId w:val="12"/>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9"/>
  </w:num>
  <w:num w:numId="34">
    <w:abstractNumId w:val="0"/>
  </w:num>
  <w:num w:numId="35">
    <w:abstractNumId w:val="9"/>
  </w:num>
  <w:num w:numId="36">
    <w:abstractNumId w:val="9"/>
  </w:num>
  <w:num w:numId="3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77B5"/>
    <w:rsid w:val="00072C1E"/>
    <w:rsid w:val="00073A69"/>
    <w:rsid w:val="000A13BC"/>
    <w:rsid w:val="000A3F85"/>
    <w:rsid w:val="000D278B"/>
    <w:rsid w:val="000E23A7"/>
    <w:rsid w:val="000F0765"/>
    <w:rsid w:val="0010693F"/>
    <w:rsid w:val="00107E5E"/>
    <w:rsid w:val="00114472"/>
    <w:rsid w:val="0013379C"/>
    <w:rsid w:val="00133B41"/>
    <w:rsid w:val="001550BC"/>
    <w:rsid w:val="001605B9"/>
    <w:rsid w:val="00170EC5"/>
    <w:rsid w:val="001747C1"/>
    <w:rsid w:val="00184743"/>
    <w:rsid w:val="001C0FC2"/>
    <w:rsid w:val="001D68A6"/>
    <w:rsid w:val="00207DF5"/>
    <w:rsid w:val="00216071"/>
    <w:rsid w:val="00280E07"/>
    <w:rsid w:val="00294223"/>
    <w:rsid w:val="0029605F"/>
    <w:rsid w:val="002A2FA2"/>
    <w:rsid w:val="002C31BF"/>
    <w:rsid w:val="002D08B1"/>
    <w:rsid w:val="002D7388"/>
    <w:rsid w:val="002E0CD7"/>
    <w:rsid w:val="003013FA"/>
    <w:rsid w:val="003071BD"/>
    <w:rsid w:val="0031554C"/>
    <w:rsid w:val="00341DCF"/>
    <w:rsid w:val="00357BC6"/>
    <w:rsid w:val="00390C86"/>
    <w:rsid w:val="003956C6"/>
    <w:rsid w:val="003A4D59"/>
    <w:rsid w:val="003B39EC"/>
    <w:rsid w:val="003C562E"/>
    <w:rsid w:val="003D703A"/>
    <w:rsid w:val="003F20D8"/>
    <w:rsid w:val="00400212"/>
    <w:rsid w:val="00401303"/>
    <w:rsid w:val="004352A6"/>
    <w:rsid w:val="00441430"/>
    <w:rsid w:val="00450F07"/>
    <w:rsid w:val="00453CD3"/>
    <w:rsid w:val="00460660"/>
    <w:rsid w:val="00486107"/>
    <w:rsid w:val="00491827"/>
    <w:rsid w:val="00493B1B"/>
    <w:rsid w:val="004A6222"/>
    <w:rsid w:val="004B348C"/>
    <w:rsid w:val="004C4399"/>
    <w:rsid w:val="004C728D"/>
    <w:rsid w:val="004C787C"/>
    <w:rsid w:val="004E143C"/>
    <w:rsid w:val="004E1498"/>
    <w:rsid w:val="004E3A53"/>
    <w:rsid w:val="004F47D9"/>
    <w:rsid w:val="004F4B9B"/>
    <w:rsid w:val="00511AB9"/>
    <w:rsid w:val="00522467"/>
    <w:rsid w:val="00523EA7"/>
    <w:rsid w:val="00527421"/>
    <w:rsid w:val="00537B7A"/>
    <w:rsid w:val="00553375"/>
    <w:rsid w:val="005736B7"/>
    <w:rsid w:val="00575E5A"/>
    <w:rsid w:val="00592757"/>
    <w:rsid w:val="00597E84"/>
    <w:rsid w:val="005B76DD"/>
    <w:rsid w:val="005D5624"/>
    <w:rsid w:val="005F1404"/>
    <w:rsid w:val="0060520C"/>
    <w:rsid w:val="0061068E"/>
    <w:rsid w:val="006241AD"/>
    <w:rsid w:val="00653F5F"/>
    <w:rsid w:val="00660AD3"/>
    <w:rsid w:val="00677B7F"/>
    <w:rsid w:val="00691402"/>
    <w:rsid w:val="006A53AC"/>
    <w:rsid w:val="006A5570"/>
    <w:rsid w:val="006A689C"/>
    <w:rsid w:val="006B3D79"/>
    <w:rsid w:val="006C7697"/>
    <w:rsid w:val="006D7AFE"/>
    <w:rsid w:val="006E0578"/>
    <w:rsid w:val="006E314D"/>
    <w:rsid w:val="006E4540"/>
    <w:rsid w:val="006E6E61"/>
    <w:rsid w:val="007061F8"/>
    <w:rsid w:val="00707CB6"/>
    <w:rsid w:val="00710723"/>
    <w:rsid w:val="00713986"/>
    <w:rsid w:val="00723ED1"/>
    <w:rsid w:val="007431E5"/>
    <w:rsid w:val="00743525"/>
    <w:rsid w:val="007510DD"/>
    <w:rsid w:val="00753EBA"/>
    <w:rsid w:val="0076203B"/>
    <w:rsid w:val="0076286B"/>
    <w:rsid w:val="00766846"/>
    <w:rsid w:val="0077673A"/>
    <w:rsid w:val="007846E1"/>
    <w:rsid w:val="007A0C04"/>
    <w:rsid w:val="007B570C"/>
    <w:rsid w:val="007C01CD"/>
    <w:rsid w:val="007C589B"/>
    <w:rsid w:val="007E4A6E"/>
    <w:rsid w:val="007F56A7"/>
    <w:rsid w:val="00807DD0"/>
    <w:rsid w:val="00810E9B"/>
    <w:rsid w:val="0086114C"/>
    <w:rsid w:val="008659F3"/>
    <w:rsid w:val="00870D11"/>
    <w:rsid w:val="00886D4B"/>
    <w:rsid w:val="00895406"/>
    <w:rsid w:val="008A3568"/>
    <w:rsid w:val="008C6457"/>
    <w:rsid w:val="008D03B9"/>
    <w:rsid w:val="008E1E86"/>
    <w:rsid w:val="008F18D6"/>
    <w:rsid w:val="008F7DFE"/>
    <w:rsid w:val="00904780"/>
    <w:rsid w:val="00922385"/>
    <w:rsid w:val="009223DF"/>
    <w:rsid w:val="00936091"/>
    <w:rsid w:val="00940D8A"/>
    <w:rsid w:val="00950C1F"/>
    <w:rsid w:val="00962258"/>
    <w:rsid w:val="009678B7"/>
    <w:rsid w:val="009833E1"/>
    <w:rsid w:val="009875E6"/>
    <w:rsid w:val="00992D9C"/>
    <w:rsid w:val="00996CB8"/>
    <w:rsid w:val="009A0078"/>
    <w:rsid w:val="009B14A9"/>
    <w:rsid w:val="009B2E97"/>
    <w:rsid w:val="009E056C"/>
    <w:rsid w:val="009E07F4"/>
    <w:rsid w:val="009F392E"/>
    <w:rsid w:val="00A02EE7"/>
    <w:rsid w:val="00A04365"/>
    <w:rsid w:val="00A6177B"/>
    <w:rsid w:val="00A66136"/>
    <w:rsid w:val="00AA4CBB"/>
    <w:rsid w:val="00AA65FA"/>
    <w:rsid w:val="00AA7351"/>
    <w:rsid w:val="00AB6759"/>
    <w:rsid w:val="00AD056F"/>
    <w:rsid w:val="00AD6731"/>
    <w:rsid w:val="00AF11FA"/>
    <w:rsid w:val="00B15D0D"/>
    <w:rsid w:val="00B27209"/>
    <w:rsid w:val="00B365D2"/>
    <w:rsid w:val="00B445D9"/>
    <w:rsid w:val="00B748DD"/>
    <w:rsid w:val="00B75EE1"/>
    <w:rsid w:val="00B77481"/>
    <w:rsid w:val="00B8518B"/>
    <w:rsid w:val="00BB184D"/>
    <w:rsid w:val="00BC1A5A"/>
    <w:rsid w:val="00BC6818"/>
    <w:rsid w:val="00BD7E91"/>
    <w:rsid w:val="00C02D0A"/>
    <w:rsid w:val="00C03A6E"/>
    <w:rsid w:val="00C44F6A"/>
    <w:rsid w:val="00C47AE3"/>
    <w:rsid w:val="00C53DEF"/>
    <w:rsid w:val="00C74BF6"/>
    <w:rsid w:val="00C8192F"/>
    <w:rsid w:val="00C84689"/>
    <w:rsid w:val="00CC6991"/>
    <w:rsid w:val="00CD1694"/>
    <w:rsid w:val="00CD1FC4"/>
    <w:rsid w:val="00D0732D"/>
    <w:rsid w:val="00D15E50"/>
    <w:rsid w:val="00D21061"/>
    <w:rsid w:val="00D30EB6"/>
    <w:rsid w:val="00D34CD4"/>
    <w:rsid w:val="00D4108E"/>
    <w:rsid w:val="00D6163D"/>
    <w:rsid w:val="00D657AD"/>
    <w:rsid w:val="00D67F56"/>
    <w:rsid w:val="00D831A3"/>
    <w:rsid w:val="00D85C5B"/>
    <w:rsid w:val="00D87D95"/>
    <w:rsid w:val="00D945D0"/>
    <w:rsid w:val="00DC20CE"/>
    <w:rsid w:val="00DC75F3"/>
    <w:rsid w:val="00DD46F3"/>
    <w:rsid w:val="00DE56F2"/>
    <w:rsid w:val="00DF116D"/>
    <w:rsid w:val="00E37841"/>
    <w:rsid w:val="00E80276"/>
    <w:rsid w:val="00EB0DB7"/>
    <w:rsid w:val="00EB104F"/>
    <w:rsid w:val="00ED14BD"/>
    <w:rsid w:val="00EF1804"/>
    <w:rsid w:val="00EF683F"/>
    <w:rsid w:val="00F00358"/>
    <w:rsid w:val="00F0533E"/>
    <w:rsid w:val="00F1048D"/>
    <w:rsid w:val="00F12C80"/>
    <w:rsid w:val="00F12DEC"/>
    <w:rsid w:val="00F1715C"/>
    <w:rsid w:val="00F310F8"/>
    <w:rsid w:val="00F32266"/>
    <w:rsid w:val="00F35939"/>
    <w:rsid w:val="00F3626D"/>
    <w:rsid w:val="00F45607"/>
    <w:rsid w:val="00F659E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927CC5D6-3389-42A9-A303-3778B3E8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0F0765"/>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861689">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16169862">
      <w:bodyDiv w:val="1"/>
      <w:marLeft w:val="0"/>
      <w:marRight w:val="0"/>
      <w:marTop w:val="0"/>
      <w:marBottom w:val="0"/>
      <w:divBdr>
        <w:top w:val="none" w:sz="0" w:space="0" w:color="auto"/>
        <w:left w:val="none" w:sz="0" w:space="0" w:color="auto"/>
        <w:bottom w:val="none" w:sz="0" w:space="0" w:color="auto"/>
        <w:right w:val="none" w:sz="0" w:space="0" w:color="auto"/>
      </w:divBdr>
    </w:div>
    <w:div w:id="1296914425">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648898798">
      <w:bodyDiv w:val="1"/>
      <w:marLeft w:val="0"/>
      <w:marRight w:val="0"/>
      <w:marTop w:val="0"/>
      <w:marBottom w:val="0"/>
      <w:divBdr>
        <w:top w:val="none" w:sz="0" w:space="0" w:color="auto"/>
        <w:left w:val="none" w:sz="0" w:space="0" w:color="auto"/>
        <w:bottom w:val="none" w:sz="0" w:space="0" w:color="auto"/>
        <w:right w:val="none" w:sz="0" w:space="0" w:color="auto"/>
      </w:divBdr>
    </w:div>
    <w:div w:id="214076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rto@spravazeleznic.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ly@spravazeleznic.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chan@spravazeleznic.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Zitka@spravazeleznic.cz" TargetMode="External"/><Relationship Id="rId4" Type="http://schemas.openxmlformats.org/officeDocument/2006/relationships/settings" Target="settings.xml"/><Relationship Id="rId9" Type="http://schemas.openxmlformats.org/officeDocument/2006/relationships/hyperlink" Target="mailto:Spacek@spravazeleznic.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1F43C-1822-40D8-9F8A-AB635B808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1844</Words>
  <Characters>10883</Characters>
  <Application>Microsoft Office Word</Application>
  <DocSecurity>0</DocSecurity>
  <Lines>90</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17</cp:revision>
  <cp:lastPrinted>2019-05-31T07:44:00Z</cp:lastPrinted>
  <dcterms:created xsi:type="dcterms:W3CDTF">2020-03-30T11:00:00Z</dcterms:created>
  <dcterms:modified xsi:type="dcterms:W3CDTF">2020-10-20T14:07:00Z</dcterms:modified>
</cp:coreProperties>
</file>